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淮北市重点工程建设管理处绩效自评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重点工程建设管理经费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办公楼运行费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雨污水分流工作经费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pPr w:leftFromText="180" w:rightFromText="180" w:vertAnchor="page" w:horzAnchor="page" w:tblpX="1688" w:tblpY="1681"/>
        <w:tblOverlap w:val="never"/>
        <w:tblW w:w="92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134"/>
        <w:gridCol w:w="851"/>
        <w:gridCol w:w="283"/>
        <w:gridCol w:w="284"/>
        <w:gridCol w:w="425"/>
        <w:gridCol w:w="429"/>
        <w:gridCol w:w="422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重点工程建设管理经费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[266]淮北市住房和城乡建设局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淮北市重点工程建设管理处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144.798108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0.9484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144.798108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0.9484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保障年度重点工程实施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保障年度重点工程实施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工作任务完成率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工作质量情况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优、良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履职完成情况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是否及时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是否控制在批复概算内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控制在批复概算内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指标1：是否带动行业经济效益增长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带动行业经济效益增长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指标1：工作人员积极性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工作人员积极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指标1：是否节约资源，不浪费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保护生态环境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节约资源，保护环境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指标1：项目持续发挥作用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项目持续发挥作用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群众满意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99.48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p/>
    <w:tbl>
      <w:tblPr>
        <w:tblStyle w:val="2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134"/>
        <w:gridCol w:w="851"/>
        <w:gridCol w:w="283"/>
        <w:gridCol w:w="284"/>
        <w:gridCol w:w="425"/>
        <w:gridCol w:w="429"/>
        <w:gridCol w:w="422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办公楼运行费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[266]淮北市住房和城乡建设局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淮北市重点工程建设管理处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22.5599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0.8057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22.5599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0.8057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保障单位办公楼正常运行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保障单位办公楼正常运行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工作任务完成率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工作质量情况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履职完成情况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是否控制在批复概算内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控制在批复概算内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指标1：是否带动行业经济效益增长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带动行业经济效益增长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指标1：工作人员积极性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工作人员积极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指标1：是否节约资源，不浪费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保护生态环境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节约资源，保护环境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指标1：项目持续发挥作用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项目持续发挥作用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群众满意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98.06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p/>
    <w:p/>
    <w:tbl>
      <w:tblPr>
        <w:tblStyle w:val="2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134"/>
        <w:gridCol w:w="851"/>
        <w:gridCol w:w="283"/>
        <w:gridCol w:w="284"/>
        <w:gridCol w:w="425"/>
        <w:gridCol w:w="429"/>
        <w:gridCol w:w="422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雨污水分流工作经费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[266]淮北市住房和城乡建设局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淮北市重点工程建设管理处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23.76829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0.8489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23.76829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0.8489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保障雨污分流工作正常开展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保障雨污分流工作正常开展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工作任务完成率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工作质量情况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履职完成情况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是否控制在批复概算内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控制在批复概算内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指标1：是否带动行业经济效益增长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带动行业经济效益增长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是否改善市民出行条件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改善市民出行条件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提高污水分流效率，改善生态环境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提高污水分流效率，改善生态环境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指标1：项目持续发挥作用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项目持续发挥作用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群众满意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98.49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22E5"/>
    <w:rsid w:val="5D7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2023-09-26T07:13:00Z</dcterms:created>
  <dc:creator>马成红</dc:creator>
  <cp:lastModifiedBy>马成红</cp:lastModifiedBy>
  <dcterms:modified xsi:type="dcterms:W3CDTF">2023-09-26T07:15:55Z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