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adjustRightInd/>
        <w:snapToGrid/>
        <w:spacing w:beforeAutospacing="0" w:afterAutospacing="0" w:line="580" w:lineRule="exact"/>
        <w:jc w:val="center"/>
        <w:rPr>
          <w:rFonts w:hint="eastAsia" w:eastAsia="方正小标宋简体"/>
          <w:sz w:val="44"/>
          <w:szCs w:val="44"/>
          <w:lang w:val="en-US" w:eastAsia="zh-CN"/>
        </w:rPr>
      </w:pPr>
      <w:r>
        <w:rPr>
          <w:rFonts w:hint="eastAsia" w:eastAsia="方正小标宋简体"/>
          <w:sz w:val="44"/>
          <w:szCs w:val="44"/>
        </w:rPr>
        <w:t>《淮北市</w:t>
      </w:r>
      <w:r>
        <w:rPr>
          <w:rFonts w:hint="eastAsia" w:eastAsia="方正小标宋简体"/>
          <w:sz w:val="44"/>
          <w:szCs w:val="44"/>
          <w:lang w:eastAsia="zh-CN"/>
        </w:rPr>
        <w:t>立体绿化、停车场</w:t>
      </w:r>
      <w:r>
        <w:rPr>
          <w:rFonts w:hint="eastAsia" w:eastAsia="方正小标宋简体"/>
          <w:sz w:val="44"/>
          <w:szCs w:val="44"/>
        </w:rPr>
        <w:t>绿化折算建设项目附属绿地面积实施办法》起草</w:t>
      </w:r>
      <w:r>
        <w:rPr>
          <w:rFonts w:hint="eastAsia" w:eastAsia="方正小标宋简体"/>
          <w:sz w:val="44"/>
          <w:szCs w:val="44"/>
          <w:lang w:val="en-US" w:eastAsia="zh-CN"/>
        </w:rPr>
        <w:t>说明</w:t>
      </w:r>
    </w:p>
    <w:p>
      <w:pPr>
        <w:pageBreakBefore w:val="0"/>
        <w:numPr>
          <w:ilvl w:val="0"/>
          <w:numId w:val="1"/>
        </w:numPr>
        <w:kinsoku/>
        <w:wordWrap/>
        <w:overflowPunct/>
        <w:topLinePunct w:val="0"/>
        <w:autoSpaceDE/>
        <w:autoSpaceDN/>
        <w:bidi w:val="0"/>
        <w:adjustRightInd/>
        <w:snapToGrid/>
        <w:spacing w:beforeAutospacing="0" w:afterAutospacing="0" w:line="580" w:lineRule="exact"/>
        <w:rPr>
          <w:rFonts w:hint="eastAsia" w:ascii="黑体" w:hAnsi="黑体" w:eastAsia="黑体" w:cs="黑体"/>
          <w:b/>
          <w:bCs/>
          <w:sz w:val="32"/>
          <w:szCs w:val="32"/>
        </w:rPr>
      </w:pPr>
      <w:r>
        <w:rPr>
          <w:rFonts w:hint="eastAsia" w:ascii="黑体" w:hAnsi="黑体" w:eastAsia="黑体" w:cs="黑体"/>
          <w:b/>
          <w:bCs/>
          <w:sz w:val="32"/>
          <w:szCs w:val="32"/>
        </w:rPr>
        <w:t>起草背景和</w:t>
      </w:r>
      <w:r>
        <w:rPr>
          <w:rFonts w:hint="eastAsia" w:ascii="黑体" w:hAnsi="黑体" w:eastAsia="黑体" w:cs="黑体"/>
          <w:b/>
          <w:bCs/>
          <w:sz w:val="32"/>
          <w:szCs w:val="32"/>
          <w:lang w:eastAsia="zh-CN"/>
        </w:rPr>
        <w:t>过程</w:t>
      </w:r>
    </w:p>
    <w:p>
      <w:pPr>
        <w:pageBreakBefore w:val="0"/>
        <w:kinsoku/>
        <w:wordWrap/>
        <w:overflowPunct/>
        <w:topLinePunct w:val="0"/>
        <w:autoSpaceDE/>
        <w:autoSpaceDN/>
        <w:bidi w:val="0"/>
        <w:adjustRightInd/>
        <w:snapToGrid/>
        <w:spacing w:beforeAutospacing="0" w:afterAutospacing="0" w:line="580" w:lineRule="exact"/>
        <w:ind w:left="640"/>
        <w:rPr>
          <w:rFonts w:ascii="仿宋_GB2312" w:hAnsi="仿宋" w:eastAsia="仿宋_GB2312"/>
          <w:b/>
          <w:bCs/>
          <w:sz w:val="32"/>
          <w:szCs w:val="32"/>
        </w:rPr>
      </w:pPr>
      <w:r>
        <w:rPr>
          <w:rFonts w:ascii="仿宋_GB2312" w:hAnsi="仿宋" w:eastAsia="仿宋_GB2312"/>
          <w:b/>
          <w:bCs/>
          <w:sz w:val="32"/>
          <w:szCs w:val="32"/>
        </w:rPr>
        <w:t>1</w:t>
      </w:r>
      <w:r>
        <w:rPr>
          <w:rFonts w:hint="eastAsia" w:ascii="仿宋_GB2312" w:hAnsi="仿宋" w:eastAsia="仿宋_GB2312"/>
          <w:b/>
          <w:bCs/>
          <w:sz w:val="32"/>
          <w:szCs w:val="32"/>
          <w:lang w:val="en-US" w:eastAsia="zh-CN"/>
        </w:rPr>
        <w:t>.</w:t>
      </w:r>
      <w:r>
        <w:rPr>
          <w:rFonts w:hint="eastAsia" w:ascii="仿宋_GB2312" w:hAnsi="仿宋" w:eastAsia="仿宋_GB2312"/>
          <w:b/>
          <w:bCs/>
          <w:sz w:val="32"/>
          <w:szCs w:val="32"/>
        </w:rPr>
        <w:t>起草背景</w:t>
      </w:r>
    </w:p>
    <w:p>
      <w:pPr>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firstLineChars="200"/>
        <w:jc w:val="left"/>
        <w:rPr>
          <w:rFonts w:hint="eastAsia" w:ascii="仿宋_GB2312" w:eastAsia="仿宋_GB2312"/>
          <w:sz w:val="32"/>
          <w:szCs w:val="32"/>
        </w:rPr>
      </w:pPr>
      <w:r>
        <w:rPr>
          <w:rFonts w:hint="eastAsia" w:ascii="仿宋_GB2312" w:eastAsia="仿宋_GB2312"/>
          <w:sz w:val="32"/>
          <w:szCs w:val="32"/>
        </w:rPr>
        <w:t>2</w:t>
      </w:r>
      <w:r>
        <w:rPr>
          <w:rFonts w:ascii="仿宋_GB2312" w:eastAsia="仿宋_GB2312"/>
          <w:sz w:val="32"/>
          <w:szCs w:val="32"/>
        </w:rPr>
        <w:t>018</w:t>
      </w:r>
      <w:r>
        <w:rPr>
          <w:rFonts w:hint="eastAsia" w:ascii="仿宋_GB2312" w:eastAsia="仿宋_GB2312"/>
          <w:sz w:val="32"/>
          <w:szCs w:val="32"/>
        </w:rPr>
        <w:t>年</w:t>
      </w:r>
      <w:r>
        <w:rPr>
          <w:rFonts w:hint="eastAsia" w:ascii="仿宋_GB2312" w:eastAsia="仿宋_GB2312"/>
          <w:sz w:val="32"/>
          <w:szCs w:val="32"/>
          <w:lang w:val="en-US" w:eastAsia="zh-CN"/>
        </w:rPr>
        <w:t>1月</w:t>
      </w:r>
      <w:r>
        <w:rPr>
          <w:rFonts w:hint="eastAsia" w:ascii="仿宋_GB2312" w:eastAsia="仿宋_GB2312"/>
          <w:sz w:val="32"/>
          <w:szCs w:val="32"/>
          <w:lang w:eastAsia="zh-CN"/>
        </w:rPr>
        <w:t>，我市</w:t>
      </w:r>
      <w:r>
        <w:rPr>
          <w:rFonts w:hint="eastAsia" w:ascii="仿宋_GB2312" w:eastAsia="仿宋_GB2312"/>
          <w:sz w:val="32"/>
          <w:szCs w:val="32"/>
        </w:rPr>
        <w:t>颁布的《淮北市绿化条例》中规定</w:t>
      </w:r>
      <w:r>
        <w:rPr>
          <w:rFonts w:hint="eastAsia" w:ascii="仿宋_GB2312" w:eastAsia="仿宋_GB2312"/>
          <w:sz w:val="32"/>
          <w:szCs w:val="32"/>
          <w:lang w:eastAsia="zh-CN"/>
        </w:rPr>
        <w:t>，</w:t>
      </w:r>
      <w:r>
        <w:rPr>
          <w:rFonts w:hint="eastAsia" w:ascii="仿宋_GB2312" w:eastAsia="仿宋_GB2312"/>
          <w:sz w:val="32"/>
          <w:szCs w:val="32"/>
        </w:rPr>
        <w:t>“商业、金融、交通枢纽、市政公用设施等，绿地率不低于百分之二十五；机关团体、文化娱乐、体育、医疗卫生、教育科研等，绿地率不低于百分之三十五”。在项目规划实施中，商业项目</w:t>
      </w:r>
      <w:r>
        <w:rPr>
          <w:rFonts w:hint="eastAsia" w:ascii="仿宋_GB2312" w:eastAsia="仿宋_GB2312"/>
          <w:sz w:val="32"/>
          <w:szCs w:val="32"/>
          <w:lang w:eastAsia="zh-CN"/>
        </w:rPr>
        <w:t>由于其经营特点，难以达到</w:t>
      </w:r>
      <w:r>
        <w:rPr>
          <w:rFonts w:hint="eastAsia" w:ascii="仿宋_GB2312" w:eastAsia="仿宋_GB2312"/>
          <w:sz w:val="32"/>
          <w:szCs w:val="32"/>
        </w:rPr>
        <w:t>绿地指标</w:t>
      </w:r>
      <w:r>
        <w:rPr>
          <w:rFonts w:hint="eastAsia" w:ascii="仿宋_GB2312" w:eastAsia="仿宋_GB2312"/>
          <w:sz w:val="32"/>
          <w:szCs w:val="32"/>
          <w:lang w:eastAsia="zh-CN"/>
        </w:rPr>
        <w:t>要求；</w:t>
      </w:r>
      <w:r>
        <w:rPr>
          <w:rFonts w:hint="eastAsia" w:ascii="仿宋_GB2312" w:eastAsia="仿宋_GB2312"/>
          <w:sz w:val="32"/>
          <w:szCs w:val="32"/>
        </w:rPr>
        <w:t>学校、机关、办公团体等建设项目的绿地指标也不易满足</w:t>
      </w:r>
      <w:r>
        <w:rPr>
          <w:rFonts w:hint="eastAsia" w:ascii="仿宋_GB2312" w:eastAsia="仿宋_GB2312"/>
          <w:sz w:val="32"/>
          <w:szCs w:val="32"/>
          <w:lang w:eastAsia="zh-CN"/>
        </w:rPr>
        <w:t>。</w:t>
      </w:r>
      <w:r>
        <w:rPr>
          <w:rFonts w:hint="eastAsia" w:ascii="仿宋_GB2312" w:eastAsia="仿宋_GB2312"/>
          <w:sz w:val="32"/>
          <w:szCs w:val="32"/>
        </w:rPr>
        <w:t>商业项目、学校等建设项目办理配套绿化验收时面临异地绿地补建或者缴纳高额异地绿地补偿费，给建设单位带来较大的经济负担，也不利于营商环境。</w:t>
      </w:r>
    </w:p>
    <w:p>
      <w:pPr>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firstLineChars="200"/>
        <w:jc w:val="left"/>
        <w:rPr>
          <w:rFonts w:hint="eastAsia" w:ascii="仿宋_GB2312" w:eastAsia="仿宋_GB2312"/>
          <w:sz w:val="32"/>
          <w:szCs w:val="32"/>
        </w:rPr>
      </w:pPr>
      <w:r>
        <w:rPr>
          <w:rFonts w:hint="eastAsia" w:ascii="仿宋_GB2312" w:eastAsia="仿宋_GB2312"/>
          <w:sz w:val="32"/>
          <w:szCs w:val="32"/>
          <w:lang w:eastAsia="zh-CN"/>
        </w:rPr>
        <w:t>另一方面</w:t>
      </w:r>
      <w:r>
        <w:rPr>
          <w:rFonts w:hint="eastAsia" w:ascii="仿宋_GB2312" w:eastAsia="仿宋_GB2312"/>
          <w:sz w:val="32"/>
          <w:szCs w:val="32"/>
        </w:rPr>
        <w:t>，《淮北市绿化条例》也明确“鼓励发展屋顶绿化、垂直绿化等多种形式的立体绿化和开放式绿化；新建、改建、扩建建设工程项目，条件适宜的应当实施立体绿化</w:t>
      </w:r>
      <w:r>
        <w:rPr>
          <w:rFonts w:ascii="仿宋_GB2312" w:eastAsia="仿宋_GB2312"/>
          <w:sz w:val="32"/>
          <w:szCs w:val="32"/>
        </w:rPr>
        <w:t>”。</w:t>
      </w:r>
      <w:r>
        <w:rPr>
          <w:rFonts w:hint="eastAsia" w:ascii="仿宋_GB2312" w:eastAsia="仿宋_GB2312"/>
          <w:sz w:val="32"/>
          <w:szCs w:val="32"/>
        </w:rPr>
        <w:t>为有效增加建设项目配套绿地面积，更好解决建设项目配套绿地率指标不易达标的问题，市住建局牵头</w:t>
      </w:r>
      <w:r>
        <w:rPr>
          <w:rFonts w:hint="eastAsia" w:ascii="仿宋_GB2312" w:eastAsia="仿宋_GB2312"/>
          <w:sz w:val="32"/>
          <w:szCs w:val="32"/>
          <w:lang w:eastAsia="zh-CN"/>
        </w:rPr>
        <w:t>，</w:t>
      </w:r>
      <w:r>
        <w:rPr>
          <w:rFonts w:hint="eastAsia" w:ascii="仿宋_GB2312" w:eastAsia="仿宋_GB2312"/>
          <w:sz w:val="32"/>
          <w:szCs w:val="32"/>
        </w:rPr>
        <w:t>研究省内外地市关于屋顶绿化、垂直绿化等立体绿化经验</w:t>
      </w:r>
      <w:r>
        <w:rPr>
          <w:rFonts w:hint="eastAsia" w:ascii="仿宋_GB2312" w:eastAsia="仿宋_GB2312"/>
          <w:sz w:val="32"/>
          <w:szCs w:val="32"/>
          <w:lang w:eastAsia="zh-CN"/>
        </w:rPr>
        <w:t>做法</w:t>
      </w:r>
      <w:r>
        <w:rPr>
          <w:rFonts w:hint="eastAsia" w:ascii="仿宋_GB2312" w:eastAsia="仿宋_GB2312"/>
          <w:sz w:val="32"/>
          <w:szCs w:val="32"/>
        </w:rPr>
        <w:t>，起草</w:t>
      </w:r>
      <w:r>
        <w:rPr>
          <w:rFonts w:hint="eastAsia" w:ascii="仿宋_GB2312" w:eastAsia="仿宋_GB2312"/>
          <w:sz w:val="32"/>
          <w:szCs w:val="32"/>
          <w:lang w:eastAsia="zh-CN"/>
        </w:rPr>
        <w:t>了</w:t>
      </w:r>
      <w:r>
        <w:rPr>
          <w:rFonts w:hint="eastAsia" w:ascii="仿宋_GB2312" w:eastAsia="仿宋_GB2312"/>
          <w:sz w:val="32"/>
          <w:szCs w:val="32"/>
          <w:lang w:val="en-US" w:eastAsia="zh-CN"/>
        </w:rPr>
        <w:t>本</w:t>
      </w:r>
      <w:r>
        <w:rPr>
          <w:rFonts w:hint="eastAsia" w:ascii="仿宋_GB2312" w:eastAsia="仿宋_GB2312"/>
          <w:sz w:val="32"/>
          <w:szCs w:val="32"/>
          <w:lang w:eastAsia="zh-CN"/>
        </w:rPr>
        <w:t>办法。</w:t>
      </w:r>
    </w:p>
    <w:p>
      <w:pPr>
        <w:pageBreakBefore w:val="0"/>
        <w:kinsoku/>
        <w:wordWrap/>
        <w:overflowPunct/>
        <w:topLinePunct w:val="0"/>
        <w:autoSpaceDE/>
        <w:autoSpaceDN/>
        <w:bidi w:val="0"/>
        <w:adjustRightInd/>
        <w:snapToGrid/>
        <w:spacing w:beforeAutospacing="0" w:afterAutospacing="0" w:line="580" w:lineRule="exact"/>
        <w:ind w:firstLine="643" w:firstLineChars="200"/>
        <w:rPr>
          <w:rFonts w:ascii="仿宋_GB2312" w:hAnsi="仿宋" w:eastAsia="仿宋_GB2312"/>
          <w:b/>
          <w:bCs/>
          <w:sz w:val="32"/>
          <w:szCs w:val="32"/>
        </w:rPr>
      </w:pPr>
      <w:r>
        <w:rPr>
          <w:rFonts w:ascii="仿宋_GB2312" w:hAnsi="仿宋" w:eastAsia="仿宋_GB2312"/>
          <w:b/>
          <w:bCs/>
          <w:sz w:val="32"/>
          <w:szCs w:val="32"/>
        </w:rPr>
        <w:t>2</w:t>
      </w:r>
      <w:r>
        <w:rPr>
          <w:rFonts w:hint="eastAsia" w:ascii="仿宋_GB2312" w:hAnsi="仿宋" w:eastAsia="仿宋_GB2312"/>
          <w:b/>
          <w:bCs/>
          <w:sz w:val="32"/>
          <w:szCs w:val="32"/>
          <w:lang w:val="en-US" w:eastAsia="zh-CN"/>
        </w:rPr>
        <w:t>.</w:t>
      </w:r>
      <w:r>
        <w:rPr>
          <w:rFonts w:hint="eastAsia" w:ascii="仿宋_GB2312" w:hAnsi="仿宋" w:eastAsia="仿宋_GB2312"/>
          <w:b/>
          <w:bCs/>
          <w:sz w:val="32"/>
          <w:szCs w:val="32"/>
        </w:rPr>
        <w:t>起草依据</w:t>
      </w:r>
    </w:p>
    <w:p>
      <w:pPr>
        <w:pageBreakBefore w:val="0"/>
        <w:tabs>
          <w:tab w:val="left" w:pos="3960"/>
        </w:tabs>
        <w:kinsoku/>
        <w:wordWrap/>
        <w:overflowPunct/>
        <w:topLinePunct w:val="0"/>
        <w:autoSpaceDE/>
        <w:autoSpaceDN/>
        <w:bidi w:val="0"/>
        <w:adjustRightInd/>
        <w:snapToGrid/>
        <w:spacing w:beforeAutospacing="0" w:afterAutospacing="0" w:line="580" w:lineRule="exact"/>
        <w:ind w:firstLine="640" w:firstLineChars="200"/>
        <w:outlineLvl w:val="4"/>
        <w:rPr>
          <w:rFonts w:hint="eastAsia" w:ascii="仿宋" w:hAnsi="仿宋" w:eastAsia="仿宋"/>
          <w:bCs/>
          <w:sz w:val="32"/>
          <w:szCs w:val="32"/>
        </w:rPr>
      </w:pPr>
      <w:r>
        <w:rPr>
          <w:rFonts w:hint="eastAsia" w:ascii="仿宋" w:hAnsi="仿宋" w:eastAsia="仿宋"/>
          <w:bCs/>
          <w:sz w:val="32"/>
          <w:szCs w:val="32"/>
        </w:rPr>
        <w:t>办法在起草</w:t>
      </w:r>
      <w:r>
        <w:rPr>
          <w:rFonts w:hint="eastAsia" w:ascii="仿宋" w:hAnsi="仿宋" w:eastAsia="仿宋"/>
          <w:bCs/>
          <w:sz w:val="32"/>
          <w:szCs w:val="32"/>
          <w:lang w:eastAsia="zh-CN"/>
        </w:rPr>
        <w:t>过程</w:t>
      </w:r>
      <w:r>
        <w:rPr>
          <w:rFonts w:hint="eastAsia" w:ascii="仿宋" w:hAnsi="仿宋" w:eastAsia="仿宋"/>
          <w:bCs/>
          <w:sz w:val="32"/>
          <w:szCs w:val="32"/>
        </w:rPr>
        <w:t>中参考了</w:t>
      </w:r>
      <w:r>
        <w:rPr>
          <w:rFonts w:ascii="仿宋" w:hAnsi="仿宋" w:eastAsia="仿宋"/>
          <w:bCs/>
          <w:sz w:val="32"/>
          <w:szCs w:val="32"/>
        </w:rPr>
        <w:t>《城市居住区规划设计标准》（GB50180-2018）</w:t>
      </w:r>
      <w:r>
        <w:rPr>
          <w:rFonts w:hint="eastAsia" w:ascii="仿宋" w:hAnsi="仿宋" w:eastAsia="仿宋"/>
          <w:bCs/>
          <w:sz w:val="32"/>
          <w:szCs w:val="32"/>
        </w:rPr>
        <w:t>、</w:t>
      </w:r>
      <w:r>
        <w:rPr>
          <w:rFonts w:ascii="仿宋" w:hAnsi="仿宋" w:eastAsia="仿宋"/>
          <w:bCs/>
          <w:sz w:val="32"/>
          <w:szCs w:val="32"/>
        </w:rPr>
        <w:t>《屋顶绿化技术规范》（DB31/T493-2010）</w:t>
      </w:r>
      <w:r>
        <w:rPr>
          <w:rFonts w:hint="eastAsia" w:ascii="仿宋" w:hAnsi="仿宋" w:eastAsia="仿宋"/>
          <w:bCs/>
          <w:sz w:val="32"/>
          <w:szCs w:val="32"/>
        </w:rPr>
        <w:t>、</w:t>
      </w:r>
      <w:r>
        <w:rPr>
          <w:rFonts w:ascii="仿宋" w:hAnsi="仿宋" w:eastAsia="仿宋"/>
          <w:bCs/>
          <w:sz w:val="32"/>
          <w:szCs w:val="32"/>
        </w:rPr>
        <w:t>《淮北市绿化条例》</w:t>
      </w:r>
      <w:r>
        <w:rPr>
          <w:rFonts w:hint="eastAsia" w:ascii="仿宋" w:hAnsi="仿宋" w:eastAsia="仿宋"/>
          <w:bCs/>
          <w:sz w:val="32"/>
          <w:szCs w:val="32"/>
        </w:rPr>
        <w:t>等</w:t>
      </w:r>
      <w:r>
        <w:rPr>
          <w:rFonts w:hint="eastAsia" w:ascii="仿宋" w:hAnsi="仿宋" w:eastAsia="仿宋"/>
          <w:bCs/>
          <w:sz w:val="32"/>
          <w:szCs w:val="32"/>
          <w:lang w:eastAsia="zh-CN"/>
        </w:rPr>
        <w:t>法规</w:t>
      </w:r>
      <w:r>
        <w:rPr>
          <w:rFonts w:hint="eastAsia" w:ascii="仿宋" w:hAnsi="仿宋" w:eastAsia="仿宋"/>
          <w:bCs/>
          <w:sz w:val="32"/>
          <w:szCs w:val="32"/>
        </w:rPr>
        <w:t>、规范和标准。</w:t>
      </w:r>
    </w:p>
    <w:p>
      <w:pPr>
        <w:pageBreakBefore w:val="0"/>
        <w:kinsoku/>
        <w:wordWrap/>
        <w:overflowPunct/>
        <w:topLinePunct w:val="0"/>
        <w:autoSpaceDE/>
        <w:autoSpaceDN/>
        <w:bidi w:val="0"/>
        <w:adjustRightInd/>
        <w:snapToGrid/>
        <w:spacing w:beforeAutospacing="0" w:afterAutospacing="0" w:line="580" w:lineRule="exact"/>
        <w:ind w:firstLine="643" w:firstLineChars="200"/>
        <w:rPr>
          <w:rFonts w:hint="eastAsia" w:ascii="仿宋_GB2312" w:hAnsi="仿宋" w:eastAsia="仿宋_GB2312"/>
          <w:b/>
          <w:bCs/>
          <w:sz w:val="32"/>
          <w:szCs w:val="32"/>
          <w:lang w:eastAsia="zh-CN"/>
        </w:rPr>
      </w:pPr>
      <w:r>
        <w:rPr>
          <w:rFonts w:hint="eastAsia" w:ascii="仿宋_GB2312" w:hAnsi="仿宋" w:eastAsia="仿宋_GB2312"/>
          <w:b/>
          <w:bCs/>
          <w:sz w:val="32"/>
          <w:szCs w:val="32"/>
        </w:rPr>
        <w:t>3</w:t>
      </w:r>
      <w:r>
        <w:rPr>
          <w:rFonts w:hint="eastAsia" w:ascii="仿宋_GB2312" w:hAnsi="仿宋" w:eastAsia="仿宋_GB2312"/>
          <w:b/>
          <w:bCs/>
          <w:sz w:val="32"/>
          <w:szCs w:val="32"/>
          <w:lang w:val="en-US" w:eastAsia="zh-CN"/>
        </w:rPr>
        <w:t>.</w:t>
      </w:r>
      <w:r>
        <w:rPr>
          <w:rFonts w:hint="eastAsia" w:ascii="仿宋_GB2312" w:hAnsi="仿宋" w:eastAsia="仿宋_GB2312"/>
          <w:b/>
          <w:bCs/>
          <w:sz w:val="32"/>
          <w:szCs w:val="32"/>
          <w:lang w:eastAsia="zh-CN"/>
        </w:rPr>
        <w:t>起草过程</w:t>
      </w:r>
    </w:p>
    <w:p>
      <w:pPr>
        <w:pageBreakBefore w:val="0"/>
        <w:tabs>
          <w:tab w:val="left" w:pos="3960"/>
        </w:tabs>
        <w:kinsoku/>
        <w:wordWrap/>
        <w:overflowPunct/>
        <w:topLinePunct w:val="0"/>
        <w:autoSpaceDE/>
        <w:autoSpaceDN/>
        <w:bidi w:val="0"/>
        <w:adjustRightInd/>
        <w:snapToGrid/>
        <w:spacing w:beforeAutospacing="0" w:afterAutospacing="0" w:line="580" w:lineRule="exact"/>
        <w:ind w:firstLine="640" w:firstLineChars="200"/>
        <w:outlineLvl w:val="4"/>
        <w:rPr>
          <w:rFonts w:hint="eastAsia" w:ascii="仿宋" w:hAnsi="仿宋" w:eastAsia="仿宋"/>
          <w:bCs/>
          <w:sz w:val="32"/>
          <w:szCs w:val="32"/>
        </w:rPr>
      </w:pPr>
      <w:r>
        <w:rPr>
          <w:rFonts w:hint="eastAsia" w:ascii="仿宋" w:hAnsi="仿宋" w:eastAsia="仿宋"/>
          <w:bCs/>
          <w:sz w:val="32"/>
          <w:szCs w:val="32"/>
        </w:rPr>
        <w:t>办法起草过程中</w:t>
      </w:r>
      <w:r>
        <w:rPr>
          <w:rFonts w:ascii="仿宋" w:hAnsi="仿宋" w:eastAsia="仿宋"/>
          <w:bCs/>
          <w:sz w:val="32"/>
          <w:szCs w:val="32"/>
        </w:rPr>
        <w:t>参考了上海市、宁波市、武汉市等城市的相关文件，同时</w:t>
      </w:r>
      <w:r>
        <w:rPr>
          <w:rFonts w:hint="eastAsia" w:ascii="仿宋" w:hAnsi="仿宋" w:eastAsia="仿宋"/>
          <w:bCs/>
          <w:sz w:val="32"/>
          <w:szCs w:val="32"/>
        </w:rPr>
        <w:t>与省内</w:t>
      </w:r>
      <w:r>
        <w:rPr>
          <w:rFonts w:ascii="仿宋" w:hAnsi="仿宋" w:eastAsia="仿宋"/>
          <w:bCs/>
          <w:sz w:val="32"/>
          <w:szCs w:val="32"/>
        </w:rPr>
        <w:t>已经出台相关文件</w:t>
      </w:r>
      <w:r>
        <w:rPr>
          <w:rFonts w:hint="eastAsia" w:ascii="仿宋" w:hAnsi="仿宋" w:eastAsia="仿宋"/>
          <w:bCs/>
          <w:sz w:val="32"/>
          <w:szCs w:val="32"/>
        </w:rPr>
        <w:t>的</w:t>
      </w:r>
      <w:r>
        <w:rPr>
          <w:rFonts w:hint="eastAsia" w:ascii="仿宋" w:hAnsi="仿宋" w:eastAsia="仿宋"/>
          <w:bCs/>
          <w:sz w:val="32"/>
          <w:szCs w:val="32"/>
          <w:lang w:eastAsia="zh-CN"/>
        </w:rPr>
        <w:t>合</w:t>
      </w:r>
      <w:r>
        <w:rPr>
          <w:rFonts w:ascii="仿宋" w:hAnsi="仿宋" w:eastAsia="仿宋"/>
          <w:bCs/>
          <w:sz w:val="32"/>
          <w:szCs w:val="32"/>
        </w:rPr>
        <w:t>肥市、淮南市、马鞍山等</w:t>
      </w:r>
      <w:r>
        <w:rPr>
          <w:rFonts w:hint="eastAsia" w:ascii="仿宋" w:hAnsi="仿宋" w:eastAsia="仿宋"/>
          <w:bCs/>
          <w:sz w:val="32"/>
          <w:szCs w:val="32"/>
        </w:rPr>
        <w:t>地市进行技术交流，</w:t>
      </w:r>
      <w:r>
        <w:rPr>
          <w:rFonts w:ascii="仿宋" w:hAnsi="仿宋" w:eastAsia="仿宋"/>
          <w:bCs/>
          <w:sz w:val="32"/>
          <w:szCs w:val="32"/>
        </w:rPr>
        <w:t>结合淮北市实际情况</w:t>
      </w:r>
      <w:r>
        <w:rPr>
          <w:rFonts w:hint="eastAsia" w:ascii="仿宋" w:hAnsi="仿宋" w:eastAsia="仿宋"/>
          <w:bCs/>
          <w:sz w:val="32"/>
          <w:szCs w:val="32"/>
        </w:rPr>
        <w:t>形成文件初稿。</w:t>
      </w:r>
    </w:p>
    <w:p>
      <w:pPr>
        <w:pageBreakBefore w:val="0"/>
        <w:tabs>
          <w:tab w:val="left" w:pos="3960"/>
        </w:tabs>
        <w:kinsoku/>
        <w:wordWrap/>
        <w:overflowPunct/>
        <w:topLinePunct w:val="0"/>
        <w:autoSpaceDE/>
        <w:autoSpaceDN/>
        <w:bidi w:val="0"/>
        <w:adjustRightInd/>
        <w:snapToGrid/>
        <w:spacing w:beforeAutospacing="0" w:afterAutospacing="0" w:line="580" w:lineRule="exact"/>
        <w:ind w:firstLine="640" w:firstLineChars="200"/>
        <w:outlineLvl w:val="4"/>
        <w:rPr>
          <w:rFonts w:hint="eastAsia" w:ascii="仿宋" w:hAnsi="仿宋" w:eastAsia="仿宋"/>
          <w:bCs/>
          <w:sz w:val="32"/>
          <w:szCs w:val="32"/>
        </w:rPr>
      </w:pPr>
      <w:r>
        <w:rPr>
          <w:rFonts w:hint="eastAsia" w:ascii="仿宋" w:hAnsi="仿宋" w:eastAsia="仿宋"/>
          <w:bCs/>
          <w:sz w:val="32"/>
          <w:szCs w:val="32"/>
        </w:rPr>
        <w:t>文件初稿形成后与市自然资源和规划局、市林业局、三区政府沟通交流、征求意见，形成审议稿，通过住建局法规科进行合法性审查和公平性竞争审查，经市住建局局长办公会</w:t>
      </w:r>
      <w:r>
        <w:rPr>
          <w:rFonts w:hint="eastAsia" w:ascii="仿宋" w:hAnsi="仿宋" w:eastAsia="仿宋"/>
          <w:bCs/>
          <w:sz w:val="32"/>
          <w:szCs w:val="32"/>
          <w:lang w:eastAsia="zh-CN"/>
        </w:rPr>
        <w:t>研究</w:t>
      </w:r>
      <w:r>
        <w:rPr>
          <w:rFonts w:hint="eastAsia" w:ascii="仿宋" w:hAnsi="仿宋" w:eastAsia="仿宋"/>
          <w:bCs/>
          <w:sz w:val="32"/>
          <w:szCs w:val="32"/>
        </w:rPr>
        <w:t>形成审议稿。</w:t>
      </w:r>
    </w:p>
    <w:p>
      <w:pPr>
        <w:pageBreakBefore w:val="0"/>
        <w:kinsoku/>
        <w:wordWrap/>
        <w:overflowPunct/>
        <w:topLinePunct w:val="0"/>
        <w:autoSpaceDE/>
        <w:autoSpaceDN/>
        <w:bidi w:val="0"/>
        <w:adjustRightInd/>
        <w:snapToGrid/>
        <w:spacing w:beforeAutospacing="0" w:afterAutospacing="0" w:line="580" w:lineRule="exact"/>
        <w:ind w:firstLine="643" w:firstLineChars="200"/>
        <w:rPr>
          <w:rFonts w:hint="eastAsia" w:ascii="黑体" w:hAnsi="黑体" w:eastAsia="黑体" w:cs="黑体"/>
          <w:b/>
          <w:bCs/>
          <w:sz w:val="32"/>
          <w:szCs w:val="32"/>
        </w:rPr>
      </w:pPr>
      <w:r>
        <w:rPr>
          <w:rFonts w:hint="eastAsia" w:ascii="黑体" w:hAnsi="黑体" w:eastAsia="黑体" w:cs="黑体"/>
          <w:b/>
          <w:bCs/>
          <w:sz w:val="32"/>
          <w:szCs w:val="32"/>
        </w:rPr>
        <w:t>（二）</w:t>
      </w:r>
      <w:r>
        <w:rPr>
          <w:rFonts w:hint="eastAsia" w:ascii="黑体" w:hAnsi="黑体" w:eastAsia="黑体" w:cs="黑体"/>
          <w:b/>
          <w:bCs/>
          <w:sz w:val="32"/>
          <w:szCs w:val="32"/>
          <w:lang w:eastAsia="zh-CN"/>
        </w:rPr>
        <w:t>办法</w:t>
      </w:r>
      <w:r>
        <w:rPr>
          <w:rFonts w:hint="eastAsia" w:ascii="黑体" w:hAnsi="黑体" w:eastAsia="黑体" w:cs="黑体"/>
          <w:b/>
          <w:bCs/>
          <w:sz w:val="32"/>
          <w:szCs w:val="32"/>
        </w:rPr>
        <w:t>主要内容</w:t>
      </w:r>
    </w:p>
    <w:p>
      <w:pPr>
        <w:pageBreakBefore w:val="0"/>
        <w:kinsoku/>
        <w:wordWrap/>
        <w:overflowPunct/>
        <w:topLinePunct w:val="0"/>
        <w:autoSpaceDE/>
        <w:autoSpaceDN/>
        <w:bidi w:val="0"/>
        <w:adjustRightInd/>
        <w:snapToGrid/>
        <w:spacing w:beforeAutospacing="0" w:afterAutospacing="0"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lang w:eastAsia="zh-CN"/>
        </w:rPr>
        <w:t>办法</w:t>
      </w:r>
      <w:bookmarkStart w:id="0" w:name="_GoBack"/>
      <w:bookmarkEnd w:id="0"/>
      <w:r>
        <w:rPr>
          <w:rFonts w:hint="eastAsia" w:ascii="仿宋" w:hAnsi="仿宋" w:eastAsia="仿宋"/>
          <w:bCs/>
          <w:sz w:val="32"/>
          <w:szCs w:val="32"/>
        </w:rPr>
        <w:t>共分三个方面，主要内容包括适用范围、绿化方式及折算方法、折算结果应用等内容，</w:t>
      </w:r>
      <w:r>
        <w:rPr>
          <w:rFonts w:hint="eastAsia" w:ascii="仿宋" w:hAnsi="仿宋" w:eastAsia="仿宋"/>
          <w:bCs/>
          <w:sz w:val="32"/>
          <w:szCs w:val="32"/>
          <w:lang w:eastAsia="zh-CN"/>
        </w:rPr>
        <w:t>主要</w:t>
      </w:r>
      <w:r>
        <w:rPr>
          <w:rFonts w:hint="eastAsia" w:ascii="仿宋" w:hAnsi="仿宋" w:eastAsia="仿宋"/>
          <w:bCs/>
          <w:sz w:val="32"/>
          <w:szCs w:val="32"/>
        </w:rPr>
        <w:t>内容如下：</w:t>
      </w:r>
    </w:p>
    <w:p>
      <w:pPr>
        <w:pStyle w:val="8"/>
        <w:pageBreakBefore w:val="0"/>
        <w:widowControl w:val="0"/>
        <w:kinsoku/>
        <w:wordWrap/>
        <w:overflowPunct/>
        <w:topLinePunct w:val="0"/>
        <w:autoSpaceDE/>
        <w:autoSpaceDN/>
        <w:bidi w:val="0"/>
        <w:adjustRightInd/>
        <w:snapToGrid/>
        <w:spacing w:before="0" w:beforeAutospacing="0" w:after="0" w:afterAutospacing="0" w:line="580" w:lineRule="exact"/>
        <w:ind w:firstLine="643" w:firstLineChars="200"/>
        <w:rPr>
          <w:rFonts w:ascii="仿宋" w:hAnsi="仿宋" w:eastAsia="仿宋"/>
          <w:b w:val="0"/>
          <w:bCs/>
          <w:kern w:val="2"/>
          <w:sz w:val="32"/>
          <w:szCs w:val="32"/>
        </w:rPr>
      </w:pPr>
      <w:r>
        <w:rPr>
          <w:rFonts w:hint="eastAsia" w:ascii="仿宋" w:hAnsi="仿宋" w:eastAsia="仿宋"/>
          <w:b/>
          <w:bCs w:val="0"/>
          <w:kern w:val="2"/>
          <w:sz w:val="32"/>
          <w:szCs w:val="32"/>
        </w:rPr>
        <w:t>1</w:t>
      </w:r>
      <w:r>
        <w:rPr>
          <w:rFonts w:hint="eastAsia" w:ascii="仿宋" w:hAnsi="仿宋" w:eastAsia="仿宋"/>
          <w:b/>
          <w:bCs w:val="0"/>
          <w:kern w:val="2"/>
          <w:sz w:val="32"/>
          <w:szCs w:val="32"/>
          <w:lang w:eastAsia="zh-CN"/>
        </w:rPr>
        <w:t>.</w:t>
      </w:r>
      <w:r>
        <w:rPr>
          <w:rFonts w:ascii="仿宋" w:hAnsi="仿宋" w:eastAsia="仿宋"/>
          <w:b/>
          <w:bCs w:val="0"/>
          <w:kern w:val="2"/>
          <w:sz w:val="32"/>
          <w:szCs w:val="32"/>
        </w:rPr>
        <w:t>绿化形式。</w:t>
      </w:r>
      <w:r>
        <w:rPr>
          <w:rFonts w:hint="eastAsia" w:ascii="仿宋" w:hAnsi="仿宋" w:eastAsia="仿宋"/>
          <w:b w:val="0"/>
          <w:bCs/>
          <w:kern w:val="2"/>
          <w:sz w:val="32"/>
          <w:szCs w:val="32"/>
          <w:lang w:eastAsia="zh-CN"/>
        </w:rPr>
        <w:t>明确</w:t>
      </w:r>
      <w:r>
        <w:rPr>
          <w:rFonts w:ascii="仿宋" w:hAnsi="仿宋" w:eastAsia="仿宋"/>
          <w:b w:val="0"/>
          <w:bCs/>
          <w:kern w:val="2"/>
          <w:sz w:val="32"/>
          <w:szCs w:val="32"/>
        </w:rPr>
        <w:t>屋顶绿化</w:t>
      </w:r>
      <w:r>
        <w:rPr>
          <w:rFonts w:hint="eastAsia" w:ascii="仿宋" w:hAnsi="仿宋" w:eastAsia="仿宋"/>
          <w:b w:val="0"/>
          <w:bCs/>
          <w:kern w:val="2"/>
          <w:sz w:val="32"/>
          <w:szCs w:val="32"/>
        </w:rPr>
        <w:t>、</w:t>
      </w:r>
      <w:r>
        <w:rPr>
          <w:rFonts w:ascii="仿宋" w:hAnsi="仿宋" w:eastAsia="仿宋"/>
          <w:b w:val="0"/>
          <w:bCs/>
          <w:kern w:val="2"/>
          <w:sz w:val="32"/>
          <w:szCs w:val="32"/>
        </w:rPr>
        <w:t>墙面垂直绿化、林荫</w:t>
      </w:r>
      <w:r>
        <w:rPr>
          <w:rFonts w:hint="eastAsia" w:ascii="仿宋" w:hAnsi="仿宋" w:eastAsia="仿宋"/>
          <w:b w:val="0"/>
          <w:bCs/>
          <w:kern w:val="2"/>
          <w:sz w:val="32"/>
          <w:szCs w:val="32"/>
          <w:lang w:eastAsia="zh-CN"/>
        </w:rPr>
        <w:t>式生态</w:t>
      </w:r>
      <w:r>
        <w:rPr>
          <w:rFonts w:ascii="仿宋" w:hAnsi="仿宋" w:eastAsia="仿宋"/>
          <w:b w:val="0"/>
          <w:bCs/>
          <w:kern w:val="2"/>
          <w:sz w:val="32"/>
          <w:szCs w:val="32"/>
        </w:rPr>
        <w:t>停车场绿化</w:t>
      </w:r>
      <w:r>
        <w:rPr>
          <w:rFonts w:hint="eastAsia" w:ascii="仿宋" w:hAnsi="仿宋" w:eastAsia="仿宋"/>
          <w:b w:val="0"/>
          <w:bCs/>
          <w:kern w:val="2"/>
          <w:sz w:val="32"/>
          <w:szCs w:val="32"/>
          <w:lang w:eastAsia="zh-CN"/>
        </w:rPr>
        <w:t>的界定标准</w:t>
      </w:r>
      <w:r>
        <w:rPr>
          <w:rFonts w:ascii="仿宋" w:hAnsi="仿宋" w:eastAsia="仿宋"/>
          <w:b w:val="0"/>
          <w:bCs/>
          <w:kern w:val="2"/>
          <w:sz w:val="32"/>
          <w:szCs w:val="32"/>
        </w:rPr>
        <w:t>。</w:t>
      </w:r>
    </w:p>
    <w:p>
      <w:pPr>
        <w:pStyle w:val="8"/>
        <w:pageBreakBefore w:val="0"/>
        <w:widowControl w:val="0"/>
        <w:kinsoku/>
        <w:wordWrap/>
        <w:overflowPunct/>
        <w:topLinePunct w:val="0"/>
        <w:autoSpaceDE/>
        <w:autoSpaceDN/>
        <w:bidi w:val="0"/>
        <w:adjustRightInd/>
        <w:snapToGrid/>
        <w:spacing w:before="0" w:beforeAutospacing="0" w:after="0" w:afterAutospacing="0" w:line="580" w:lineRule="exact"/>
        <w:ind w:firstLine="643" w:firstLineChars="200"/>
        <w:rPr>
          <w:rFonts w:hint="eastAsia" w:ascii="仿宋" w:hAnsi="仿宋" w:eastAsia="仿宋"/>
          <w:b w:val="0"/>
          <w:bCs w:val="0"/>
          <w:sz w:val="32"/>
          <w:szCs w:val="32"/>
        </w:rPr>
      </w:pPr>
      <w:r>
        <w:rPr>
          <w:rFonts w:hint="eastAsia" w:ascii="仿宋" w:hAnsi="仿宋" w:eastAsia="仿宋"/>
          <w:b/>
          <w:bCs w:val="0"/>
          <w:kern w:val="2"/>
          <w:sz w:val="32"/>
          <w:szCs w:val="32"/>
        </w:rPr>
        <w:t>2</w:t>
      </w:r>
      <w:r>
        <w:rPr>
          <w:rFonts w:hint="eastAsia" w:ascii="仿宋" w:hAnsi="仿宋" w:eastAsia="仿宋"/>
          <w:b/>
          <w:bCs w:val="0"/>
          <w:kern w:val="2"/>
          <w:sz w:val="32"/>
          <w:szCs w:val="32"/>
          <w:lang w:eastAsia="zh-CN"/>
        </w:rPr>
        <w:t>.</w:t>
      </w:r>
      <w:r>
        <w:rPr>
          <w:rFonts w:hint="eastAsia" w:ascii="仿宋" w:hAnsi="仿宋" w:eastAsia="仿宋"/>
          <w:b/>
          <w:bCs w:val="0"/>
          <w:kern w:val="2"/>
          <w:sz w:val="32"/>
          <w:szCs w:val="32"/>
        </w:rPr>
        <w:t>折算方法</w:t>
      </w:r>
      <w:r>
        <w:rPr>
          <w:rFonts w:hint="eastAsia" w:ascii="仿宋" w:hAnsi="仿宋" w:eastAsia="仿宋"/>
          <w:b/>
          <w:bCs w:val="0"/>
          <w:kern w:val="2"/>
          <w:sz w:val="32"/>
          <w:szCs w:val="32"/>
          <w:lang w:eastAsia="zh-CN"/>
        </w:rPr>
        <w:t>。</w:t>
      </w:r>
      <w:r>
        <w:rPr>
          <w:rFonts w:hint="eastAsia" w:ascii="仿宋" w:hAnsi="仿宋" w:eastAsia="仿宋"/>
          <w:b w:val="0"/>
          <w:bCs w:val="0"/>
          <w:sz w:val="32"/>
          <w:szCs w:val="32"/>
          <w:lang w:eastAsia="zh-CN"/>
        </w:rPr>
        <w:t>明确</w:t>
      </w:r>
      <w:r>
        <w:rPr>
          <w:rFonts w:ascii="仿宋" w:hAnsi="仿宋" w:eastAsia="仿宋"/>
          <w:b w:val="0"/>
          <w:bCs w:val="0"/>
          <w:sz w:val="32"/>
          <w:szCs w:val="32"/>
        </w:rPr>
        <w:t>屋顶绿化、墙面垂直绿化、林荫停车场绿化的折算比例，达到鼓励立体绿化、丰富绿化空间的目的。</w:t>
      </w:r>
    </w:p>
    <w:p>
      <w:pPr>
        <w:pageBreakBefore w:val="0"/>
        <w:widowControl w:val="0"/>
        <w:tabs>
          <w:tab w:val="left" w:pos="3960"/>
        </w:tabs>
        <w:kinsoku/>
        <w:wordWrap/>
        <w:overflowPunct/>
        <w:topLinePunct w:val="0"/>
        <w:autoSpaceDE/>
        <w:autoSpaceDN/>
        <w:bidi w:val="0"/>
        <w:adjustRightInd/>
        <w:snapToGrid/>
        <w:spacing w:beforeAutospacing="0" w:afterAutospacing="0" w:line="580" w:lineRule="exact"/>
        <w:ind w:firstLine="643" w:firstLineChars="200"/>
        <w:outlineLvl w:val="4"/>
        <w:rPr>
          <w:rFonts w:hint="eastAsia" w:eastAsia="仿宋_GB2312"/>
          <w:bCs/>
          <w:sz w:val="32"/>
          <w:szCs w:val="32"/>
        </w:rPr>
      </w:pPr>
      <w:r>
        <w:rPr>
          <w:rFonts w:hint="eastAsia" w:ascii="仿宋" w:hAnsi="仿宋" w:eastAsia="仿宋" w:cs="Times New Roman"/>
          <w:b/>
          <w:bCs w:val="0"/>
          <w:kern w:val="2"/>
          <w:sz w:val="32"/>
          <w:szCs w:val="32"/>
          <w:lang w:val="en-US" w:eastAsia="zh-CN" w:bidi="ar-SA"/>
        </w:rPr>
        <w:t>3.结果应用。</w:t>
      </w:r>
      <w:r>
        <w:rPr>
          <w:rFonts w:hint="eastAsia" w:ascii="仿宋" w:hAnsi="仿宋" w:eastAsia="仿宋"/>
          <w:bCs/>
          <w:sz w:val="32"/>
          <w:szCs w:val="32"/>
          <w:lang w:eastAsia="zh-CN"/>
        </w:rPr>
        <w:t>非住宅类上述三种绿化</w:t>
      </w:r>
      <w:r>
        <w:rPr>
          <w:rFonts w:hint="eastAsia" w:ascii="仿宋" w:hAnsi="仿宋" w:eastAsia="仿宋"/>
          <w:bCs/>
          <w:sz w:val="32"/>
          <w:szCs w:val="32"/>
        </w:rPr>
        <w:t>折</w:t>
      </w:r>
      <w:r>
        <w:rPr>
          <w:rFonts w:hint="eastAsia" w:ascii="仿宋" w:hAnsi="仿宋" w:eastAsia="仿宋"/>
          <w:bCs/>
          <w:sz w:val="32"/>
          <w:szCs w:val="32"/>
          <w:lang w:eastAsia="zh-CN"/>
        </w:rPr>
        <w:t>算</w:t>
      </w:r>
      <w:r>
        <w:rPr>
          <w:rFonts w:hint="eastAsia" w:ascii="仿宋" w:hAnsi="仿宋" w:eastAsia="仿宋"/>
          <w:bCs/>
          <w:sz w:val="32"/>
          <w:szCs w:val="32"/>
        </w:rPr>
        <w:t>绿地面积不超过超过规划规绿地</w:t>
      </w:r>
      <w:r>
        <w:rPr>
          <w:rFonts w:hint="eastAsia" w:ascii="仿宋" w:hAnsi="仿宋" w:eastAsia="仿宋"/>
          <w:bCs/>
          <w:sz w:val="32"/>
          <w:szCs w:val="32"/>
          <w:lang w:eastAsia="zh-CN"/>
        </w:rPr>
        <w:t>面积</w:t>
      </w:r>
      <w:r>
        <w:rPr>
          <w:rFonts w:hint="eastAsia" w:ascii="仿宋" w:hAnsi="仿宋" w:eastAsia="仿宋"/>
          <w:bCs/>
          <w:sz w:val="32"/>
          <w:szCs w:val="32"/>
        </w:rPr>
        <w:t>的30%</w:t>
      </w:r>
      <w:r>
        <w:rPr>
          <w:rFonts w:hint="eastAsia" w:ascii="仿宋" w:hAnsi="仿宋" w:eastAsia="仿宋"/>
          <w:bCs/>
          <w:sz w:val="32"/>
          <w:szCs w:val="32"/>
          <w:lang w:eastAsia="zh-CN"/>
        </w:rPr>
        <w:t>，住宅类</w:t>
      </w:r>
      <w:r>
        <w:rPr>
          <w:rFonts w:hint="eastAsia" w:ascii="仿宋" w:hAnsi="仿宋" w:eastAsia="仿宋"/>
          <w:bCs/>
          <w:sz w:val="32"/>
          <w:szCs w:val="32"/>
        </w:rPr>
        <w:t>不超过</w:t>
      </w:r>
      <w:r>
        <w:rPr>
          <w:rFonts w:hint="eastAsia" w:ascii="仿宋" w:hAnsi="仿宋" w:eastAsia="仿宋"/>
          <w:bCs/>
          <w:sz w:val="32"/>
          <w:szCs w:val="32"/>
          <w:lang w:val="en-US" w:eastAsia="zh-CN"/>
        </w:rPr>
        <w:t>2</w:t>
      </w:r>
      <w:r>
        <w:rPr>
          <w:rFonts w:hint="eastAsia" w:ascii="仿宋" w:hAnsi="仿宋" w:eastAsia="仿宋"/>
          <w:bCs/>
          <w:sz w:val="32"/>
          <w:szCs w:val="32"/>
        </w:rPr>
        <w:t>0%</w:t>
      </w:r>
      <w:r>
        <w:rPr>
          <w:rFonts w:hint="eastAsia" w:ascii="仿宋" w:hAnsi="仿宋" w:eastAsia="仿宋"/>
          <w:bCs/>
          <w:sz w:val="32"/>
          <w:szCs w:val="32"/>
          <w:lang w:eastAsia="zh-CN"/>
        </w:rPr>
        <w:t>；</w:t>
      </w:r>
      <w:r>
        <w:rPr>
          <w:rFonts w:eastAsia="仿宋_GB2312"/>
          <w:bCs/>
          <w:sz w:val="32"/>
          <w:szCs w:val="32"/>
        </w:rPr>
        <w:t>林荫式生态停车场绿地面积按照停车场地面面积的30%进行折算</w:t>
      </w:r>
      <w:r>
        <w:rPr>
          <w:rFonts w:hint="eastAsia" w:eastAsia="仿宋_GB2312"/>
          <w:bCs/>
          <w:sz w:val="32"/>
          <w:szCs w:val="32"/>
        </w:rPr>
        <w:t>。</w:t>
      </w:r>
    </w:p>
    <w:p>
      <w:pPr>
        <w:pageBreakBefore w:val="0"/>
        <w:tabs>
          <w:tab w:val="left" w:pos="3960"/>
        </w:tabs>
        <w:kinsoku/>
        <w:wordWrap/>
        <w:overflowPunct/>
        <w:topLinePunct w:val="0"/>
        <w:autoSpaceDE/>
        <w:autoSpaceDN/>
        <w:bidi w:val="0"/>
        <w:adjustRightInd/>
        <w:snapToGrid/>
        <w:spacing w:beforeAutospacing="0" w:afterAutospacing="0" w:line="580" w:lineRule="exact"/>
        <w:ind w:firstLine="643" w:firstLineChars="200"/>
        <w:outlineLvl w:val="4"/>
        <w:rPr>
          <w:rFonts w:hint="eastAsia" w:ascii="仿宋" w:hAnsi="仿宋" w:eastAsia="仿宋"/>
          <w:bCs/>
          <w:sz w:val="32"/>
          <w:szCs w:val="32"/>
        </w:rPr>
      </w:pPr>
      <w:r>
        <w:rPr>
          <w:rFonts w:hint="eastAsia" w:ascii="方正仿宋_GBK" w:hAnsi="方正仿宋_GBK" w:eastAsia="方正仿宋_GBK" w:cs="方正仿宋_GBK"/>
          <w:b/>
          <w:bCs w:val="0"/>
          <w:sz w:val="32"/>
          <w:szCs w:val="32"/>
          <w:lang w:val="en-US" w:eastAsia="zh-CN"/>
        </w:rPr>
        <w:t>4.后期管理。</w:t>
      </w:r>
      <w:r>
        <w:rPr>
          <w:rFonts w:hint="eastAsia" w:ascii="仿宋" w:hAnsi="仿宋" w:eastAsia="仿宋"/>
          <w:bCs/>
          <w:sz w:val="32"/>
          <w:szCs w:val="32"/>
        </w:rPr>
        <w:t>立体绿化</w:t>
      </w:r>
      <w:r>
        <w:rPr>
          <w:rFonts w:hint="eastAsia" w:ascii="仿宋" w:hAnsi="仿宋" w:eastAsia="仿宋"/>
          <w:bCs/>
          <w:sz w:val="32"/>
          <w:szCs w:val="32"/>
          <w:lang w:eastAsia="zh-CN"/>
        </w:rPr>
        <w:t>、生态停车场绿化</w:t>
      </w:r>
      <w:r>
        <w:rPr>
          <w:rFonts w:hint="eastAsia" w:ascii="仿宋" w:hAnsi="仿宋" w:eastAsia="仿宋"/>
          <w:bCs/>
          <w:sz w:val="32"/>
          <w:szCs w:val="32"/>
        </w:rPr>
        <w:t>纳入建设项目配套绿化正常养护管理，任何人不得擅自拆除或者破坏，必须确保各类树木花草生长良好、绿化设施完好，擅自占用或者损害配套绿化行为的，按照《淮北市绿化条例》的规定予以处罚。</w:t>
      </w:r>
    </w:p>
    <w:p>
      <w:pPr>
        <w:pageBreakBefore w:val="0"/>
        <w:kinsoku/>
        <w:wordWrap/>
        <w:overflowPunct/>
        <w:topLinePunct w:val="0"/>
        <w:autoSpaceDE/>
        <w:autoSpaceDN/>
        <w:bidi w:val="0"/>
        <w:adjustRightInd/>
        <w:spacing w:beforeAutospacing="0" w:afterAutospacing="0" w:line="600" w:lineRule="exact"/>
        <w:rPr>
          <w:rFonts w:hint="eastAsia" w:eastAsia="仿宋_GB2312"/>
          <w:bCs/>
          <w:sz w:val="32"/>
          <w:szCs w:val="32"/>
        </w:rPr>
      </w:pPr>
    </w:p>
    <w:sectPr>
      <w:headerReference r:id="rId3" w:type="default"/>
      <w:footerReference r:id="rId4" w:type="default"/>
      <w:pgSz w:w="11906" w:h="16838"/>
      <w:pgMar w:top="1984" w:right="1474" w:bottom="1701"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ln w="12700">
                        <a:noFill/>
                      </a:ln>
                    </wps:spPr>
                    <wps:txbx>
                      <w:txbxContent>
                        <w:p>
                          <w:pPr>
                            <w:pStyle w:val="3"/>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wps:txbx>
                    <wps:bodyPr rot="0" vert="horz" wrap="none" lIns="0" tIns="0" rIns="0" bIns="0" anchor="t" anchorCtr="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yJ92v0wAAAAUBAAAPAAAA&#10;AAAAAAEAIAAAACIAAABkcnMvZG93bnJldi54bWxQSwECFAAUAAAACACHTuJAU8v0M+EBAAC8AwAA&#10;DgAAAAAAAAABACAAAAAiAQAAZHJzL2Uyb0RvYy54bWxQSwUGAAAAAAYABgBZAQAAdQUAAAAA&#10;">
              <v:fill on="f" focussize="0,0"/>
              <v:stroke on="f" weight="1pt"/>
              <v:imagedata o:title=""/>
              <o:lock v:ext="edit" aspectratio="f"/>
              <v:textbox inset="0mm,0mm,0mm,0mm" style="mso-fit-shape-to-text:t;">
                <w:txbxContent>
                  <w:p>
                    <w:pPr>
                      <w:pStyle w:val="3"/>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36A2209"/>
    <w:multiLevelType w:val="multilevel"/>
    <w:tmpl w:val="636A2209"/>
    <w:lvl w:ilvl="0" w:tentative="0">
      <w:start w:val="1"/>
      <w:numFmt w:val="japaneseCounting"/>
      <w:lvlText w:val="（%1）"/>
      <w:lvlJc w:val="left"/>
      <w:pPr>
        <w:ind w:left="1720" w:hanging="1080"/>
      </w:pPr>
    </w:lvl>
    <w:lvl w:ilvl="1" w:tentative="0">
      <w:start w:val="1"/>
      <w:numFmt w:val="decimal"/>
      <w:lvlText w:val="%2、"/>
      <w:lvlJc w:val="left"/>
      <w:pPr>
        <w:ind w:left="1780" w:hanging="7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cumentProtection w:enforcement="0"/>
  <w:defaultTabStop w:val="420"/>
  <w:displayHorizontalDrawingGridEvery w:val="1"/>
  <w:displayVerticalDrawingGridEvery w:val="1"/>
  <w:hdrShapeDefaults>
    <o:shapelayout v:ext="edit">
      <o:idmap v:ext="edit" data="3,4"/>
    </o:shapelayout>
  </w:hdrShapeDefaults>
  <w:compat>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RiZGEyYmU4NTYzMDgxNDBkZDBmYjNjZGUyMTE2NWQifQ=="/>
  </w:docVars>
  <w:rsids>
    <w:rsidRoot w:val="00000000"/>
    <w:rsid w:val="06F270F2"/>
    <w:rsid w:val="13784D52"/>
    <w:rsid w:val="22D80C0E"/>
    <w:rsid w:val="30465D32"/>
    <w:rsid w:val="42F567E9"/>
    <w:rsid w:val="4A711452"/>
    <w:rsid w:val="5DDBC90B"/>
    <w:rsid w:val="69461824"/>
    <w:rsid w:val="78676109"/>
    <w:rsid w:val="7A626333"/>
    <w:rsid w:val="7FA50452"/>
    <w:rsid w:val="7FFBF5B6"/>
    <w:rsid w:val="BB6F5994"/>
    <w:rsid w:val="DF679142"/>
    <w:rsid w:val="EEBFB98F"/>
    <w:rsid w:val="F3D758A4"/>
    <w:rsid w:val="F9CE749A"/>
    <w:rsid w:val="FFDFB3F2"/>
    <w:rsid w:val="FFEFBD2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4"/>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beforeAutospacing="0" w:afterAutospacing="0" w:line="240" w:lineRule="auto"/>
      <w:jc w:val="both"/>
      <w:outlineLvl w:val="9"/>
    </w:pPr>
    <w:rPr>
      <w:sz w:val="18"/>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标题 11"/>
    <w:basedOn w:val="1"/>
    <w:qFormat/>
    <w:uiPriority w:val="0"/>
    <w:pPr>
      <w:keepNext/>
      <w:keepLines/>
      <w:spacing w:before="340" w:beforeAutospacing="0" w:after="330" w:afterAutospacing="0" w:line="576" w:lineRule="auto"/>
      <w:outlineLvl w:val="0"/>
    </w:pPr>
    <w:rPr>
      <w:b/>
      <w:kern w:val="44"/>
      <w:sz w:val="44"/>
    </w:rPr>
  </w:style>
  <w:style w:type="character" w:customStyle="1" w:styleId="9">
    <w:name w:val="默认段落字体1"/>
    <w:link w:val="1"/>
    <w:semiHidden/>
    <w:qFormat/>
    <w:uiPriority w:val="0"/>
  </w:style>
  <w:style w:type="table" w:customStyle="1" w:styleId="10">
    <w:name w:val="普通表格1"/>
    <w:semiHidden/>
    <w:qFormat/>
    <w:uiPriority w:val="0"/>
  </w:style>
  <w:style w:type="paragraph" w:customStyle="1" w:styleId="11">
    <w:name w:val="纯文本1"/>
    <w:basedOn w:val="1"/>
    <w:qFormat/>
    <w:uiPriority w:val="0"/>
    <w:rPr>
      <w:rFonts w:ascii="宋体" w:hAnsi="Courier New"/>
      <w:szCs w:val="21"/>
    </w:rPr>
  </w:style>
  <w:style w:type="paragraph" w:customStyle="1" w:styleId="12">
    <w:name w:val="普通(网站)1"/>
    <w:basedOn w:val="1"/>
    <w:qFormat/>
    <w:uiPriority w:val="0"/>
    <w:pPr>
      <w:spacing w:before="100" w:beforeAutospacing="1" w:after="100" w:afterAutospacing="1"/>
      <w:ind w:left="0" w:right="0"/>
      <w:jc w:val="left"/>
    </w:pPr>
    <w:rPr>
      <w:kern w:val="0"/>
      <w:sz w:val="24"/>
      <w:lang w:val="en-US" w:eastAsia="zh-CN" w:bidi="ar"/>
    </w:rPr>
  </w:style>
  <w:style w:type="table" w:customStyle="1" w:styleId="13">
    <w:name w:val="网格型1"/>
    <w:basedOn w:val="10"/>
    <w:qFormat/>
    <w:uiPriority w:val="0"/>
    <w:pPr>
      <w:widowControl w:val="0"/>
      <w:jc w:val="both"/>
    </w:pPr>
  </w:style>
  <w:style w:type="character" w:customStyle="1" w:styleId="14">
    <w:name w:val="要点1"/>
    <w:link w:val="1"/>
    <w:qFormat/>
    <w:uiPriority w:val="0"/>
    <w:rPr>
      <w:b/>
      <w:bCs/>
    </w:rPr>
  </w:style>
  <w:style w:type="paragraph" w:customStyle="1" w:styleId="15">
    <w:name w:val="页眉1"/>
    <w:basedOn w:val="1"/>
    <w:link w:val="16"/>
    <w:qFormat/>
    <w:uiPriority w:val="0"/>
    <w:pPr>
      <w:tabs>
        <w:tab w:val="center" w:pos="4153"/>
        <w:tab w:val="right" w:pos="8306"/>
      </w:tabs>
      <w:snapToGrid w:val="0"/>
      <w:jc w:val="center"/>
    </w:pPr>
    <w:rPr>
      <w:sz w:val="18"/>
      <w:szCs w:val="18"/>
    </w:rPr>
  </w:style>
  <w:style w:type="character" w:customStyle="1" w:styleId="16">
    <w:name w:val="页眉 字符"/>
    <w:link w:val="15"/>
    <w:qFormat/>
    <w:uiPriority w:val="0"/>
    <w:rPr>
      <w:kern w:val="2"/>
      <w:sz w:val="18"/>
      <w:szCs w:val="18"/>
    </w:rPr>
  </w:style>
  <w:style w:type="paragraph" w:customStyle="1" w:styleId="17">
    <w:name w:val="页脚1"/>
    <w:basedOn w:val="1"/>
    <w:link w:val="18"/>
    <w:qFormat/>
    <w:uiPriority w:val="0"/>
    <w:pPr>
      <w:tabs>
        <w:tab w:val="center" w:pos="4153"/>
        <w:tab w:val="right" w:pos="8306"/>
      </w:tabs>
      <w:snapToGrid w:val="0"/>
      <w:jc w:val="left"/>
    </w:pPr>
    <w:rPr>
      <w:sz w:val="18"/>
      <w:szCs w:val="18"/>
    </w:rPr>
  </w:style>
  <w:style w:type="character" w:customStyle="1" w:styleId="18">
    <w:name w:val="页脚 字符"/>
    <w:link w:val="17"/>
    <w:qFormat/>
    <w:uiPriority w:val="0"/>
    <w:rPr>
      <w:kern w:val="2"/>
      <w:sz w:val="18"/>
      <w:szCs w:val="18"/>
    </w:rPr>
  </w:style>
  <w:style w:type="paragraph" w:customStyle="1" w:styleId="19">
    <w:name w:val="正文文本缩进1"/>
    <w:basedOn w:val="1"/>
    <w:link w:val="20"/>
    <w:qFormat/>
    <w:uiPriority w:val="0"/>
    <w:pPr>
      <w:widowControl/>
      <w:ind w:left="480"/>
      <w:jc w:val="left"/>
    </w:pPr>
    <w:rPr>
      <w:kern w:val="0"/>
      <w:sz w:val="24"/>
    </w:rPr>
  </w:style>
  <w:style w:type="character" w:customStyle="1" w:styleId="20">
    <w:name w:val="正文文本缩进 字符"/>
    <w:link w:val="19"/>
    <w:qFormat/>
    <w:uiPriority w:val="0"/>
    <w:rPr>
      <w:sz w:val="24"/>
      <w:szCs w:val="24"/>
    </w:rPr>
  </w:style>
  <w:style w:type="paragraph" w:customStyle="1" w:styleId="21">
    <w:name w:val="封面标准文稿编辑信息"/>
    <w:qFormat/>
    <w:uiPriority w:val="0"/>
    <w:pPr>
      <w:spacing w:before="180" w:beforeAutospacing="0" w:afterAutospacing="0" w:line="180" w:lineRule="exact"/>
      <w:jc w:val="center"/>
    </w:pPr>
    <w:rPr>
      <w:rFonts w:ascii="宋体" w:hAnsi="Times New Roman" w:eastAsia="宋体" w:cs="Times New Roman"/>
      <w:sz w:val="21"/>
      <w:lang w:val="en-US" w:eastAsia="zh-CN" w:bidi="ar-SA"/>
    </w:rPr>
  </w:style>
  <w:style w:type="paragraph" w:customStyle="1" w:styleId="22">
    <w:name w:val="批注框文本1"/>
    <w:basedOn w:val="1"/>
    <w:link w:val="23"/>
    <w:qFormat/>
    <w:uiPriority w:val="0"/>
    <w:rPr>
      <w:sz w:val="18"/>
      <w:szCs w:val="18"/>
    </w:rPr>
  </w:style>
  <w:style w:type="character" w:customStyle="1" w:styleId="23">
    <w:name w:val="批注框文本 字符"/>
    <w:link w:val="22"/>
    <w:qFormat/>
    <w:uiPriority w:val="0"/>
    <w:rPr>
      <w:kern w:val="2"/>
      <w:sz w:val="18"/>
      <w:szCs w:val="18"/>
    </w:rPr>
  </w:style>
  <w:style w:type="paragraph" w:customStyle="1" w:styleId="24">
    <w:name w:val="日期1"/>
    <w:basedOn w:val="1"/>
    <w:link w:val="25"/>
    <w:qFormat/>
    <w:uiPriority w:val="0"/>
    <w:pPr>
      <w:ind w:left="100" w:leftChars="2500"/>
    </w:pPr>
  </w:style>
  <w:style w:type="character" w:customStyle="1" w:styleId="25">
    <w:name w:val="日期 字符"/>
    <w:link w:val="24"/>
    <w:qFormat/>
    <w:uiPriority w:val="0"/>
    <w:rPr>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satMod val="300000"/>
                <a:tint val="50000"/>
              </a:schemeClr>
            </a:gs>
            <a:gs pos="35000">
              <a:schemeClr val="phClr">
                <a:satMod val="300000"/>
                <a:tint val="37000"/>
              </a:schemeClr>
            </a:gs>
            <a:gs pos="100000">
              <a:schemeClr val="phClr">
                <a:satMod val="350000"/>
                <a:tint val="15000"/>
              </a:schemeClr>
            </a:gs>
          </a:gsLst>
          <a:lin ang="16200000" scaled="1"/>
        </a:gradFill>
        <a:gradFill rotWithShape="1">
          <a:gsLst>
            <a:gs pos="0">
              <a:schemeClr val="phClr">
                <a:satMod val="130000"/>
                <a:shade val="51000"/>
              </a:schemeClr>
            </a:gs>
            <a:gs pos="80000">
              <a:schemeClr val="phClr">
                <a:satMod val="130000"/>
                <a:shade val="93000"/>
              </a:schemeClr>
            </a:gs>
            <a:gs pos="100000">
              <a:schemeClr val="phClr">
                <a:satMod val="135000"/>
                <a:shade val="94000"/>
              </a:schemeClr>
            </a:gs>
          </a:gsLst>
          <a:lin ang="16200000" scaled="0"/>
        </a:gradFill>
      </a:fillStyleLst>
      <a:lnStyleLst>
        <a:ln w="9525" cap="flat" cmpd="sng" algn="ctr">
          <a:solidFill>
            <a:schemeClr val="phClr">
              <a:satMod val="105000"/>
              <a:shade val="9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atMod val="350000"/>
                <a:tint val="40000"/>
              </a:schemeClr>
            </a:gs>
            <a:gs pos="40000">
              <a:schemeClr val="phClr">
                <a:satMod val="350000"/>
                <a:shade val="99000"/>
                <a:tint val="45000"/>
              </a:schemeClr>
            </a:gs>
            <a:gs pos="100000">
              <a:schemeClr val="phClr">
                <a:satMod val="255000"/>
                <a:shade val="20000"/>
              </a:schemeClr>
            </a:gs>
          </a:gsLst>
          <a:path path="circle">
            <a:fillToRect l="50000" t="-80000" r="50000" b="180000"/>
          </a:path>
        </a:gradFill>
        <a:gradFill rotWithShape="1">
          <a:gsLst>
            <a:gs pos="0">
              <a:schemeClr val="phClr">
                <a:satMod val="300000"/>
                <a:tint val="80000"/>
              </a:schemeClr>
            </a:gs>
            <a:gs pos="100000">
              <a:schemeClr val="phClr">
                <a:satMod val="200000"/>
                <a:shade val="3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14</Pages>
  <Words>3905</Words>
  <Characters>4134</Characters>
  <Lines>0</Lines>
  <Paragraphs>0</Paragraphs>
  <TotalTime>6</TotalTime>
  <ScaleCrop>false</ScaleCrop>
  <LinksUpToDate>false</LinksUpToDate>
  <CharactersWithSpaces>4302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2023-09-24T17:00:00Z</dcterms:created>
  <dc:creator>user</dc:creator>
  <cp:lastModifiedBy>俠</cp:lastModifiedBy>
  <dcterms:modified xsi:type="dcterms:W3CDTF">2023-10-13T09:03:42Z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5DD59B9564CD44638FBB4C95DA440C46_13</vt:lpwstr>
  </property>
</Properties>
</file>