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《淮北市城市地下管线管理办法》起草说明</w:t>
      </w:r>
    </w:p>
    <w:bookmarkEnd w:id="0"/>
    <w:p>
      <w:pPr>
        <w:spacing w:line="570" w:lineRule="exact"/>
        <w:ind w:firstLine="640" w:firstLineChars="200"/>
        <w:rPr>
          <w:rFonts w:hint="eastAsia" w:ascii="Times New Roman" w:hAnsi="黑体" w:eastAsia="黑体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Times New Roman" w:hAnsi="黑体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一、</w:t>
      </w:r>
      <w:r>
        <w:rPr>
          <w:rFonts w:hint="eastAsia" w:ascii="Times New Roman" w:hAnsi="黑体" w:eastAsia="黑体"/>
          <w:sz w:val="32"/>
          <w:szCs w:val="32"/>
        </w:rPr>
        <w:t>背景</w:t>
      </w:r>
      <w:r>
        <w:rPr>
          <w:rFonts w:ascii="Times New Roman" w:hAnsi="黑体" w:eastAsia="黑体"/>
          <w:sz w:val="32"/>
          <w:szCs w:val="32"/>
        </w:rPr>
        <w:t>依据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城市地下管线是保障城市运行的重要基础设施和“生命线”，科学规划、有序建设、动态管理是保障城市安全运行、提高城市综合承载能力、提升城镇化发展质量的重要手段和途径。2012年市住建局负责编制出台的《淮北市城市地下管线及窨井设施管理办法》执行已超10年，随着淮北市城市建设的快速发展，地下管线种类繁多、涉及面广、管理难度大，近几年住建部推行的地下综合管廊的建设管理也存在制度缺失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现行文件已不能适应对城市地下管线建设管理的实际需要。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为进一步加强城市地下管线管理，合理利用地下空间资源，保障城市地下管线集约高效建设和安全运行，</w:t>
      </w:r>
      <w:r>
        <w:rPr>
          <w:rFonts w:hint="eastAsia" w:ascii="Times New Roman" w:hAnsi="Times New Roman" w:eastAsia="仿宋_GB2312"/>
          <w:sz w:val="32"/>
          <w:szCs w:val="32"/>
        </w:rPr>
        <w:t>现形成《淮北市城市地下管线管理办法（征求意见稿）》（以下简称《办法（征求意见稿）》）。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二、起草过程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2023年3月市住建局启动文件编制工作，通过召开专题座谈会、现场调研的形式，充分了解目前我市地下管线建设的基本情况、存在的主要问题及建议。在总结前期调研成果基础上，结合淮北实际，充分借鉴合肥、芜湖、蚌埠等其他城市的经验做法，于6月底形成征求意见稿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主要内容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《办法》包含“总则、规划管理、建设管理、运行与安全管理、窨井设施、综合管廊、信息管理、法律责任、附则”九章内容，共五十一条。</w:t>
      </w:r>
    </w:p>
    <w:p>
      <w:pPr>
        <w:spacing w:line="57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第一章“总则”</w:t>
      </w:r>
      <w:r>
        <w:rPr>
          <w:rFonts w:ascii="Times New Roman" w:hAnsi="Times New Roman" w:eastAsia="仿宋_GB2312"/>
          <w:sz w:val="32"/>
          <w:szCs w:val="32"/>
        </w:rPr>
        <w:t>。主要指出《办法》适用于我市城市开发边界</w:t>
      </w:r>
      <w:r>
        <w:rPr>
          <w:rFonts w:hint="eastAsia" w:ascii="Times New Roman" w:hAnsi="Times New Roman" w:eastAsia="仿宋_GB2312"/>
          <w:sz w:val="32"/>
          <w:szCs w:val="32"/>
        </w:rPr>
        <w:t>，说明</w:t>
      </w:r>
      <w:r>
        <w:rPr>
          <w:rFonts w:ascii="Times New Roman" w:hAnsi="Times New Roman" w:eastAsia="仿宋_GB2312"/>
          <w:sz w:val="32"/>
          <w:szCs w:val="32"/>
        </w:rPr>
        <w:t>地下管线的适用</w:t>
      </w:r>
      <w:r>
        <w:rPr>
          <w:rFonts w:hint="eastAsia" w:ascii="Times New Roman" w:hAnsi="Times New Roman" w:eastAsia="仿宋_GB2312"/>
          <w:sz w:val="32"/>
          <w:szCs w:val="32"/>
        </w:rPr>
        <w:t>种类；提出地下管线的建设管理工作</w:t>
      </w:r>
      <w:r>
        <w:rPr>
          <w:rFonts w:ascii="Times New Roman" w:hAnsi="Times New Roman" w:eastAsia="仿宋_GB2312"/>
          <w:sz w:val="32"/>
          <w:szCs w:val="32"/>
        </w:rPr>
        <w:t>遵循规划引领、统筹建设、协调管理、信息共享、安全运行的原则</w:t>
      </w:r>
      <w:r>
        <w:rPr>
          <w:rFonts w:hint="eastAsia" w:ascii="Times New Roman" w:hAnsi="Times New Roman" w:eastAsia="仿宋_GB2312"/>
          <w:sz w:val="32"/>
          <w:szCs w:val="32"/>
        </w:rPr>
        <w:t>；明确市、区</w:t>
      </w:r>
      <w:r>
        <w:rPr>
          <w:rFonts w:ascii="Times New Roman" w:hAnsi="Times New Roman" w:eastAsia="仿宋_GB2312"/>
          <w:sz w:val="32"/>
          <w:szCs w:val="32"/>
        </w:rPr>
        <w:t>人民政府及市管开发区管委会的</w:t>
      </w:r>
      <w:r>
        <w:rPr>
          <w:rFonts w:hint="eastAsia" w:ascii="Times New Roman" w:hAnsi="Times New Roman" w:eastAsia="仿宋_GB2312"/>
          <w:sz w:val="32"/>
          <w:szCs w:val="32"/>
        </w:rPr>
        <w:t>工作</w:t>
      </w:r>
      <w:r>
        <w:rPr>
          <w:rFonts w:ascii="Times New Roman" w:hAnsi="Times New Roman" w:eastAsia="仿宋_GB2312"/>
          <w:sz w:val="32"/>
          <w:szCs w:val="32"/>
        </w:rPr>
        <w:t>职责</w:t>
      </w:r>
      <w:r>
        <w:rPr>
          <w:rFonts w:hint="eastAsia" w:ascii="Times New Roman" w:hAnsi="Times New Roman" w:eastAsia="仿宋_GB2312"/>
          <w:sz w:val="32"/>
          <w:szCs w:val="32"/>
        </w:rPr>
        <w:t>；介绍</w:t>
      </w:r>
      <w:r>
        <w:rPr>
          <w:rFonts w:ascii="Times New Roman" w:hAnsi="Times New Roman" w:eastAsia="仿宋_GB2312"/>
          <w:sz w:val="32"/>
          <w:szCs w:val="32"/>
        </w:rPr>
        <w:t>市住房城乡建设部门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各行业管理部门、管线单位</w:t>
      </w:r>
      <w:r>
        <w:rPr>
          <w:rFonts w:hint="eastAsia" w:ascii="Times New Roman" w:hAnsi="Times New Roman" w:eastAsia="仿宋_GB2312"/>
          <w:sz w:val="32"/>
          <w:szCs w:val="32"/>
        </w:rPr>
        <w:t>的工作职责；提出鼓励支持地下管线建设采用新技术、新材料、新工艺和新设备；建立多元化投资机制和投诉举报制度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70" w:lineRule="exact"/>
        <w:ind w:firstLine="643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第二章“规划管理”</w:t>
      </w:r>
      <w:r>
        <w:rPr>
          <w:rFonts w:ascii="Times New Roman" w:hAnsi="Times New Roman" w:eastAsia="仿宋_GB2312"/>
          <w:sz w:val="32"/>
          <w:szCs w:val="32"/>
        </w:rPr>
        <w:t>。明确地下管线专项规划的编制要求及地下管线应遵守的规定；</w:t>
      </w:r>
      <w:r>
        <w:rPr>
          <w:rFonts w:hint="eastAsia" w:ascii="Times New Roman" w:hAnsi="Times New Roman" w:eastAsia="仿宋_GB2312"/>
          <w:sz w:val="32"/>
          <w:szCs w:val="32"/>
        </w:rPr>
        <w:t>明确</w:t>
      </w:r>
      <w:r>
        <w:rPr>
          <w:rFonts w:ascii="Times New Roman" w:hAnsi="Times New Roman" w:eastAsia="仿宋_GB2312"/>
          <w:sz w:val="32"/>
          <w:szCs w:val="32"/>
        </w:rPr>
        <w:t>地下管线的走向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位置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埋深</w:t>
      </w:r>
      <w:r>
        <w:rPr>
          <w:rFonts w:hint="eastAsia" w:ascii="Times New Roman" w:hAnsi="Times New Roman" w:eastAsia="仿宋_GB2312"/>
          <w:sz w:val="32"/>
          <w:szCs w:val="32"/>
        </w:rPr>
        <w:t>规定；明确</w:t>
      </w:r>
      <w:r>
        <w:rPr>
          <w:rFonts w:ascii="Times New Roman" w:hAnsi="Times New Roman" w:eastAsia="仿宋_GB2312"/>
          <w:sz w:val="32"/>
          <w:szCs w:val="32"/>
        </w:rPr>
        <w:t>地下管线工程规划审批手续和规划核实手续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7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第三章“建设管理”</w:t>
      </w:r>
      <w:r>
        <w:rPr>
          <w:rFonts w:ascii="Times New Roman" w:hAnsi="Times New Roman" w:eastAsia="仿宋_GB2312"/>
          <w:sz w:val="32"/>
          <w:szCs w:val="32"/>
        </w:rPr>
        <w:t>。加强年度计划管理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明确各类地下管线年度计划、全市地下管线年度计划的编制主体和编制流程；</w:t>
      </w:r>
      <w:r>
        <w:rPr>
          <w:rFonts w:hint="eastAsia" w:ascii="Times New Roman" w:hAnsi="Times New Roman" w:eastAsia="仿宋_GB2312"/>
          <w:sz w:val="32"/>
          <w:szCs w:val="32"/>
        </w:rPr>
        <w:t>明确</w:t>
      </w:r>
      <w:r>
        <w:rPr>
          <w:rFonts w:ascii="Times New Roman" w:hAnsi="Times New Roman" w:eastAsia="仿宋_GB2312"/>
          <w:sz w:val="32"/>
          <w:szCs w:val="32"/>
        </w:rPr>
        <w:t>城市道路的地下管线工程与城市道路同步规划、同步设计、同步建设、同步验收；地下管线占用挖掘应依法办理审批手续；地下管线建设单位及施工单位应遵守的规定。</w:t>
      </w:r>
    </w:p>
    <w:p>
      <w:pPr>
        <w:spacing w:line="57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第四章“运行与安全管理”</w:t>
      </w:r>
      <w:r>
        <w:rPr>
          <w:rFonts w:ascii="Times New Roman" w:hAnsi="Times New Roman" w:eastAsia="仿宋_GB2312"/>
          <w:sz w:val="32"/>
          <w:szCs w:val="32"/>
        </w:rPr>
        <w:t>。明确市住房城乡建设部门负责建设城市地下管线安全运行监测平台，整合管线单位安全运行监测系统信息，</w:t>
      </w:r>
      <w:r>
        <w:rPr>
          <w:rFonts w:hint="eastAsia" w:ascii="Times New Roman" w:hAnsi="Times New Roman" w:eastAsia="仿宋_GB2312"/>
          <w:sz w:val="32"/>
          <w:szCs w:val="32"/>
        </w:rPr>
        <w:t>新建、改建、扩建地下管线应当安装监测传感设备，并纳入地下管网安全运行监测体系。明确</w:t>
      </w:r>
      <w:r>
        <w:rPr>
          <w:rFonts w:ascii="Times New Roman" w:hAnsi="Times New Roman" w:eastAsia="仿宋_GB2312"/>
          <w:sz w:val="32"/>
          <w:szCs w:val="32"/>
        </w:rPr>
        <w:t>行业管理部门的监督管理责任，管线单位的安全管理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维护责任</w:t>
      </w:r>
      <w:r>
        <w:rPr>
          <w:rFonts w:hint="eastAsia" w:ascii="Times New Roman" w:hAnsi="Times New Roman" w:eastAsia="仿宋_GB2312"/>
          <w:sz w:val="32"/>
          <w:szCs w:val="32"/>
        </w:rPr>
        <w:t>；明确</w:t>
      </w:r>
      <w:r>
        <w:rPr>
          <w:rFonts w:ascii="Times New Roman" w:hAnsi="Times New Roman" w:eastAsia="仿宋_GB2312"/>
          <w:sz w:val="32"/>
          <w:szCs w:val="32"/>
        </w:rPr>
        <w:t>废弃及权属不明地下管线的处理规定，地下管线发生严重故障或出现安全紧急状况时应急处置流程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具体列出危害地下管线安全运行七条禁止行为。</w:t>
      </w:r>
    </w:p>
    <w:p>
      <w:pPr>
        <w:spacing w:line="57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第五章“窨井设施”</w:t>
      </w:r>
      <w:r>
        <w:rPr>
          <w:rFonts w:ascii="Times New Roman" w:hAnsi="Times New Roman" w:eastAsia="仿宋_GB2312"/>
          <w:sz w:val="32"/>
          <w:szCs w:val="32"/>
        </w:rPr>
        <w:t>。明确市、区及市管开发区住房城乡建设部门应设立窨井设施</w:t>
      </w:r>
      <w:r>
        <w:rPr>
          <w:rFonts w:hint="eastAsia" w:ascii="Times New Roman" w:hAnsi="Times New Roman" w:eastAsia="仿宋_GB2312"/>
          <w:sz w:val="32"/>
          <w:szCs w:val="32"/>
        </w:rPr>
        <w:t>监督</w:t>
      </w:r>
      <w:r>
        <w:rPr>
          <w:rFonts w:ascii="Times New Roman" w:hAnsi="Times New Roman" w:eastAsia="仿宋_GB2312"/>
          <w:sz w:val="32"/>
          <w:szCs w:val="32"/>
        </w:rPr>
        <w:t>管理</w:t>
      </w:r>
      <w:r>
        <w:rPr>
          <w:rFonts w:hint="eastAsia" w:ascii="Times New Roman" w:hAnsi="Times New Roman" w:eastAsia="仿宋_GB2312"/>
          <w:sz w:val="32"/>
          <w:szCs w:val="32"/>
        </w:rPr>
        <w:t>机构</w:t>
      </w:r>
      <w:r>
        <w:rPr>
          <w:rFonts w:ascii="Times New Roman" w:hAnsi="Times New Roman" w:eastAsia="仿宋_GB2312"/>
          <w:sz w:val="32"/>
          <w:szCs w:val="32"/>
        </w:rPr>
        <w:t>，并对窨井设施的巡查、维护管理进行责任划分；窨井设施的设置、维修、改造应遵守的原则；窨井设施产权、管理单位应当履行的职责；推广窨井盖智能化升级改造。</w:t>
      </w:r>
    </w:p>
    <w:p>
      <w:pPr>
        <w:spacing w:line="57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第六章“综合管廊”</w:t>
      </w:r>
      <w:r>
        <w:rPr>
          <w:rFonts w:ascii="Times New Roman" w:hAnsi="Times New Roman" w:eastAsia="仿宋_GB2312"/>
          <w:sz w:val="32"/>
          <w:szCs w:val="32"/>
        </w:rPr>
        <w:t>。本篇章内容补充我市地下综合管廊的制度空白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明确地下综合管廊建设应因地制宜推进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可以结合新城区建设、旧城区改造和道路建设</w:t>
      </w:r>
      <w:r>
        <w:rPr>
          <w:rFonts w:hint="eastAsia" w:ascii="Times New Roman" w:hAnsi="Times New Roman" w:eastAsia="仿宋_GB2312"/>
          <w:sz w:val="32"/>
          <w:szCs w:val="32"/>
        </w:rPr>
        <w:t>实施</w:t>
      </w:r>
      <w:r>
        <w:rPr>
          <w:rFonts w:ascii="Times New Roman" w:hAnsi="Times New Roman" w:eastAsia="仿宋_GB2312"/>
          <w:sz w:val="32"/>
          <w:szCs w:val="32"/>
        </w:rPr>
        <w:t>；明确地下综合管廊实行有偿使用制度，费用标准由物价部门制定；并对管廊运营单位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入廊管线单位安全运行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应急处置的职责进行明确。</w:t>
      </w:r>
    </w:p>
    <w:p>
      <w:pPr>
        <w:spacing w:line="57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第七章“信息管理”</w:t>
      </w:r>
      <w:r>
        <w:rPr>
          <w:rFonts w:ascii="Times New Roman" w:hAnsi="Times New Roman" w:eastAsia="仿宋_GB2312"/>
          <w:sz w:val="32"/>
          <w:szCs w:val="32"/>
        </w:rPr>
        <w:t>。明确地下管线数据信息的收集、管理与共享机制，地下管线档案、信息管理单位应当按要求建立保密制度。</w:t>
      </w:r>
    </w:p>
    <w:p>
      <w:pPr>
        <w:spacing w:line="57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第八章“法律责任”</w:t>
      </w:r>
      <w:r>
        <w:rPr>
          <w:rFonts w:ascii="Times New Roman" w:hAnsi="Times New Roman" w:eastAsia="仿宋_GB2312"/>
          <w:sz w:val="32"/>
          <w:szCs w:val="32"/>
        </w:rPr>
        <w:t>。明确违反本《办法》的行为应当承担的法律责任及处理办法。</w:t>
      </w:r>
    </w:p>
    <w:p>
      <w:pPr>
        <w:spacing w:line="57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第九章“附则”</w:t>
      </w:r>
      <w:r>
        <w:rPr>
          <w:rFonts w:ascii="Times New Roman" w:hAnsi="Times New Roman" w:eastAsia="仿宋_GB2312"/>
          <w:sz w:val="32"/>
          <w:szCs w:val="32"/>
        </w:rPr>
        <w:t>。明确国防和军队地下管线执行国家国防和军用设施保护有关规定；濉溪县参照本《办法》执行；说明了《办法》的制定机关、实施日期。</w:t>
      </w:r>
    </w:p>
    <w:p>
      <w:pPr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9A"/>
    <w:rsid w:val="0005369A"/>
    <w:rsid w:val="00146FE6"/>
    <w:rsid w:val="004F5305"/>
    <w:rsid w:val="007F5121"/>
    <w:rsid w:val="209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230</Words>
  <Characters>1312</Characters>
  <Lines>10</Lines>
  <Paragraphs>3</Paragraphs>
  <TotalTime>9</TotalTime>
  <ScaleCrop>false</ScaleCrop>
  <LinksUpToDate>false</LinksUpToDate>
  <CharactersWithSpaces>1539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2023-10-25T09:17:00Z</dcterms:created>
  <dc:creator>王璇</dc:creator>
  <cp:lastModifiedBy>俠</cp:lastModifiedBy>
  <dcterms:modified xsi:type="dcterms:W3CDTF">2023-10-25T09:34:13Z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C4969EF35E9B4E49B3D58392D8859A5D_13</vt:lpwstr>
  </property>
</Properties>
</file>