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背景依据</w:t>
      </w:r>
      <w:r>
        <w:rPr>
          <w:rFonts w:hint="eastAsia" w:ascii="黑体" w:hAnsi="黑体" w:eastAsia="黑体"/>
          <w:sz w:val="32"/>
          <w:szCs w:val="32"/>
        </w:rPr>
        <w:t>及起草</w:t>
      </w:r>
      <w:r>
        <w:rPr>
          <w:rFonts w:ascii="黑体" w:hAnsi="黑体" w:eastAsia="黑体"/>
          <w:sz w:val="32"/>
          <w:szCs w:val="32"/>
        </w:rPr>
        <w:t>过程</w:t>
      </w:r>
    </w:p>
    <w:p>
      <w:pPr>
        <w:spacing w:line="580" w:lineRule="exact"/>
        <w:ind w:firstLine="640" w:firstLineChars="200"/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坚持房子是用来住的、不是用来炒的定位，突出住房的民生属性，推动建立多主体供给、多渠道保障、租购并举的住房制度，加快完善以公租房、保障性租赁住房、共有产权房为主体的住房保障体系，加快推进棚户区改造，促进实现全体人民住有所居，推进以人为核心的新型城镇化，依据相关政策法规，</w:t>
      </w:r>
      <w:r>
        <w:rPr>
          <w:rFonts w:hint="eastAsia" w:ascii="仿宋_GB2312" w:hAnsi="Times New Roman" w:eastAsia="仿宋_GB2312"/>
          <w:sz w:val="32"/>
          <w:szCs w:val="32"/>
        </w:rPr>
        <w:t>经过前期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对全市住房保障工作</w:t>
      </w:r>
      <w:r>
        <w:rPr>
          <w:rFonts w:hint="eastAsia" w:ascii="仿宋_GB2312" w:hAnsi="Times New Roman" w:eastAsia="仿宋_GB2312"/>
          <w:sz w:val="32"/>
          <w:szCs w:val="32"/>
        </w:rPr>
        <w:t>摸底调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研，我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局起草了《淮北市城镇住房保障“十四五”规划》。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5173FE"/>
    <w:rsid w:val="7FA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2021-12-22T01:09:00Z</dcterms:created>
  <dc:creator>Administrator</dc:creator>
  <cp:lastModifiedBy>小梨涡er</cp:lastModifiedBy>
  <dcterms:modified xsi:type="dcterms:W3CDTF">2021-12-22T01:57:35Z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8BA9978C94C64969A8DCD34B4CE836DE</vt:lpwstr>
  </property>
</Properties>
</file>