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背景依据</w:t>
      </w:r>
      <w:r>
        <w:rPr>
          <w:rFonts w:hint="eastAsia" w:ascii="黑体" w:hAnsi="黑体" w:eastAsia="黑体"/>
          <w:sz w:val="32"/>
          <w:szCs w:val="32"/>
        </w:rPr>
        <w:t>及起草</w:t>
      </w:r>
      <w:r>
        <w:rPr>
          <w:rFonts w:ascii="黑体" w:hAnsi="黑体" w:eastAsia="黑体"/>
          <w:sz w:val="32"/>
          <w:szCs w:val="32"/>
        </w:rPr>
        <w:t>过程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坚持房子是用来住的、不是用来炒的定位，突出住房的民生属性，推动建立多主体供给、多渠道保障、租购并举的住房制度，加快完善以公租房、保障性租赁住房、共有产权房为主体的住房保障体系，加快推进棚户区改造，促进实现全体人民住有所居，推进以人为核心的新型城镇化，依据相关政策法规，</w:t>
      </w:r>
      <w:r>
        <w:rPr>
          <w:rFonts w:hint="eastAsia" w:ascii="仿宋_GB2312" w:hAnsi="Times New Roman" w:eastAsia="仿宋_GB2312"/>
          <w:sz w:val="32"/>
          <w:szCs w:val="32"/>
        </w:rPr>
        <w:t>经过前期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对全市住房保障工作</w:t>
      </w:r>
      <w:r>
        <w:rPr>
          <w:rFonts w:hint="eastAsia" w:ascii="仿宋_GB2312" w:hAnsi="Times New Roman" w:eastAsia="仿宋_GB2312"/>
          <w:sz w:val="32"/>
          <w:szCs w:val="32"/>
        </w:rPr>
        <w:t>摸底调研，我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局起草了《淮北市城镇住房保障“十四五”规划》。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173FE"/>
    <w:rsid w:val="3F987FD3"/>
    <w:rsid w:val="7FA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2021-12-22T01:09:00Z</dcterms:created>
  <dc:creator>Administrator</dc:creator>
  <cp:lastModifiedBy>小梨涡er</cp:lastModifiedBy>
  <dcterms:modified xsi:type="dcterms:W3CDTF">2022-03-02T06:28:15Z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0E737F99501649968A00EAEFBD1BF1AF</vt:lpwstr>
  </property>
</Properties>
</file>