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42FC">
      <w:pPr>
        <w:rPr>
          <w:rFonts w:hint="eastAsia" w:ascii="宋体" w:hAnsi="宋体"/>
          <w:sz w:val="32"/>
          <w:szCs w:val="32"/>
        </w:rPr>
      </w:pPr>
    </w:p>
    <w:p w14:paraId="651FD253">
      <w:pPr>
        <w:adjustRightInd w:val="0"/>
        <w:snapToGrid w:val="0"/>
        <w:spacing w:line="360" w:lineRule="auto"/>
        <w:rPr>
          <w:rFonts w:hint="eastAsia" w:ascii="华文中宋" w:hAnsi="华文中宋" w:eastAsia="华文中宋" w:cs="华文中宋"/>
          <w:b/>
          <w:sz w:val="52"/>
          <w:szCs w:val="84"/>
        </w:rPr>
      </w:pPr>
    </w:p>
    <w:p w14:paraId="5CB25A50">
      <w:pPr>
        <w:pStyle w:val="4"/>
        <w:rPr>
          <w:rFonts w:hint="eastAsia"/>
        </w:rPr>
      </w:pPr>
    </w:p>
    <w:p w14:paraId="55F3E4FF">
      <w:pPr>
        <w:adjustRightInd w:val="0"/>
        <w:snapToGrid w:val="0"/>
        <w:spacing w:line="360" w:lineRule="auto"/>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淮北市</w:t>
      </w:r>
      <w:r>
        <w:rPr>
          <w:rFonts w:hint="eastAsia" w:ascii="方正小标宋简体" w:hAnsi="方正小标宋简体" w:eastAsia="方正小标宋简体" w:cs="方正小标宋简体"/>
          <w:b w:val="0"/>
          <w:bCs/>
          <w:sz w:val="44"/>
          <w:szCs w:val="44"/>
          <w:lang w:eastAsia="zh-CN"/>
        </w:rPr>
        <w:t>城市建设档案馆</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color w:val="auto"/>
          <w:sz w:val="44"/>
          <w:szCs w:val="44"/>
        </w:rPr>
        <w:t>度</w:t>
      </w:r>
      <w:r>
        <w:rPr>
          <w:rFonts w:hint="eastAsia" w:ascii="方正小标宋简体" w:hAnsi="方正小标宋简体" w:eastAsia="方正小标宋简体" w:cs="方正小标宋简体"/>
          <w:b w:val="0"/>
          <w:bCs/>
          <w:sz w:val="44"/>
          <w:szCs w:val="44"/>
          <w:lang w:eastAsia="zh-CN"/>
        </w:rPr>
        <w:t>单位决算</w:t>
      </w:r>
    </w:p>
    <w:p w14:paraId="626E0780">
      <w:pPr>
        <w:rPr>
          <w:rFonts w:hint="eastAsia" w:ascii="宋体" w:hAnsi="宋体"/>
          <w:sz w:val="28"/>
          <w:szCs w:val="28"/>
        </w:rPr>
      </w:pPr>
    </w:p>
    <w:p w14:paraId="4113A842">
      <w:pPr>
        <w:rPr>
          <w:rFonts w:hint="eastAsia" w:ascii="宋体" w:hAnsi="宋体"/>
          <w:sz w:val="28"/>
          <w:szCs w:val="28"/>
        </w:rPr>
      </w:pPr>
    </w:p>
    <w:p w14:paraId="39EB8030">
      <w:pPr>
        <w:rPr>
          <w:rFonts w:hint="eastAsia" w:ascii="宋体" w:hAnsi="宋体"/>
          <w:sz w:val="28"/>
          <w:szCs w:val="28"/>
        </w:rPr>
      </w:pPr>
    </w:p>
    <w:p w14:paraId="0F4A08ED">
      <w:pPr>
        <w:rPr>
          <w:rFonts w:hint="eastAsia" w:ascii="宋体" w:hAnsi="宋体"/>
          <w:sz w:val="28"/>
          <w:szCs w:val="28"/>
        </w:rPr>
      </w:pPr>
    </w:p>
    <w:p w14:paraId="3C7FECCE">
      <w:pPr>
        <w:rPr>
          <w:rFonts w:hint="eastAsia" w:ascii="宋体" w:hAnsi="宋体"/>
          <w:sz w:val="28"/>
          <w:szCs w:val="28"/>
        </w:rPr>
      </w:pPr>
    </w:p>
    <w:p w14:paraId="7610C70B">
      <w:pPr>
        <w:rPr>
          <w:rFonts w:hint="eastAsia" w:ascii="宋体" w:hAnsi="宋体"/>
          <w:sz w:val="28"/>
          <w:szCs w:val="28"/>
        </w:rPr>
      </w:pPr>
    </w:p>
    <w:p w14:paraId="3A9FF1C5">
      <w:pPr>
        <w:rPr>
          <w:rFonts w:hint="eastAsia" w:ascii="宋体" w:hAnsi="宋体"/>
          <w:sz w:val="28"/>
          <w:szCs w:val="28"/>
        </w:rPr>
      </w:pPr>
    </w:p>
    <w:p w14:paraId="619CA185">
      <w:pPr>
        <w:rPr>
          <w:rFonts w:hint="eastAsia" w:ascii="宋体" w:hAnsi="宋体"/>
          <w:sz w:val="28"/>
          <w:szCs w:val="28"/>
        </w:rPr>
      </w:pPr>
    </w:p>
    <w:p w14:paraId="5CE9D971">
      <w:pPr>
        <w:rPr>
          <w:rFonts w:hint="eastAsia" w:ascii="宋体" w:hAnsi="宋体"/>
          <w:sz w:val="28"/>
          <w:szCs w:val="28"/>
        </w:rPr>
      </w:pPr>
    </w:p>
    <w:p w14:paraId="0F27ACC5">
      <w:pPr>
        <w:rPr>
          <w:rFonts w:hint="eastAsia" w:ascii="宋体" w:hAnsi="宋体"/>
          <w:sz w:val="28"/>
          <w:szCs w:val="28"/>
        </w:rPr>
      </w:pPr>
    </w:p>
    <w:p w14:paraId="7E687365">
      <w:pPr>
        <w:rPr>
          <w:rFonts w:hint="eastAsia" w:ascii="宋体" w:hAnsi="宋体"/>
          <w:sz w:val="28"/>
          <w:szCs w:val="28"/>
        </w:rPr>
      </w:pPr>
    </w:p>
    <w:p w14:paraId="136A910A">
      <w:pPr>
        <w:rPr>
          <w:rFonts w:hint="eastAsia" w:ascii="宋体" w:hAnsi="宋体"/>
          <w:sz w:val="28"/>
          <w:szCs w:val="28"/>
        </w:rPr>
      </w:pPr>
    </w:p>
    <w:p w14:paraId="54177AD5">
      <w:pPr>
        <w:pStyle w:val="5"/>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4</w:t>
      </w:r>
      <w:r>
        <w:rPr>
          <w:rFonts w:hint="eastAsia" w:ascii="黑体" w:hAnsi="黑体" w:eastAsia="黑体"/>
          <w:bCs/>
          <w:sz w:val="44"/>
          <w:szCs w:val="44"/>
        </w:rPr>
        <w:t>年</w:t>
      </w:r>
      <w:r>
        <w:rPr>
          <w:rFonts w:hint="eastAsia" w:ascii="黑体" w:hAnsi="黑体" w:eastAsia="黑体"/>
          <w:bCs/>
          <w:sz w:val="44"/>
          <w:szCs w:val="44"/>
          <w:lang w:val="en-US" w:eastAsia="zh-CN"/>
        </w:rPr>
        <w:t>9</w:t>
      </w:r>
      <w:r>
        <w:rPr>
          <w:rFonts w:hint="eastAsia" w:ascii="黑体" w:hAnsi="黑体" w:eastAsia="黑体"/>
          <w:bCs/>
          <w:sz w:val="44"/>
          <w:szCs w:val="44"/>
        </w:rPr>
        <w:t>月</w:t>
      </w:r>
    </w:p>
    <w:p w14:paraId="5622726E">
      <w:pPr>
        <w:spacing w:line="580" w:lineRule="exact"/>
        <w:jc w:val="center"/>
        <w:rPr>
          <w:rFonts w:hint="eastAsia" w:ascii="黑体" w:hAnsi="宋体" w:eastAsia="黑体"/>
          <w:bCs/>
          <w:sz w:val="48"/>
          <w:szCs w:val="48"/>
        </w:rPr>
      </w:pPr>
    </w:p>
    <w:p w14:paraId="5282F255">
      <w:pPr>
        <w:spacing w:line="580" w:lineRule="exact"/>
        <w:jc w:val="center"/>
        <w:rPr>
          <w:rFonts w:hint="eastAsia" w:ascii="黑体" w:hAnsi="宋体" w:eastAsia="黑体"/>
          <w:bCs/>
          <w:sz w:val="48"/>
          <w:szCs w:val="48"/>
        </w:rPr>
      </w:pPr>
    </w:p>
    <w:p w14:paraId="3B9E335D">
      <w:pPr>
        <w:spacing w:line="580" w:lineRule="exact"/>
        <w:jc w:val="center"/>
        <w:rPr>
          <w:rFonts w:hint="eastAsia" w:ascii="黑体" w:hAnsi="宋体" w:eastAsia="黑体"/>
          <w:bCs/>
          <w:sz w:val="48"/>
          <w:szCs w:val="48"/>
        </w:rPr>
      </w:pPr>
    </w:p>
    <w:p w14:paraId="65C8C178">
      <w:pPr>
        <w:spacing w:line="580" w:lineRule="exact"/>
        <w:jc w:val="center"/>
        <w:rPr>
          <w:rFonts w:hint="eastAsia" w:ascii="黑体" w:hAnsi="宋体" w:eastAsia="黑体"/>
          <w:bCs/>
          <w:sz w:val="48"/>
          <w:szCs w:val="48"/>
        </w:rPr>
      </w:pPr>
      <w:r>
        <w:rPr>
          <w:rFonts w:hint="eastAsia" w:ascii="黑体" w:hAnsi="宋体" w:eastAsia="黑体"/>
          <w:bCs/>
          <w:sz w:val="48"/>
          <w:szCs w:val="48"/>
        </w:rPr>
        <w:t>目  录</w:t>
      </w:r>
    </w:p>
    <w:p w14:paraId="38EDC626">
      <w:pPr>
        <w:spacing w:line="550" w:lineRule="exact"/>
        <w:rPr>
          <w:rFonts w:hint="eastAsia" w:ascii="宋体" w:hAnsi="宋体"/>
          <w:b/>
          <w:sz w:val="36"/>
          <w:szCs w:val="36"/>
        </w:rPr>
      </w:pPr>
      <w:r>
        <w:rPr>
          <w:rFonts w:hint="eastAsia" w:ascii="宋体" w:hAnsi="宋体"/>
          <w:b/>
          <w:sz w:val="36"/>
          <w:szCs w:val="36"/>
        </w:rPr>
        <w:t>第一部分 淮北市城市建设档案馆概况</w:t>
      </w:r>
    </w:p>
    <w:p w14:paraId="4DEA0ED9">
      <w:pPr>
        <w:numPr>
          <w:ilvl w:val="0"/>
          <w:numId w:val="0"/>
        </w:numPr>
        <w:spacing w:line="550" w:lineRule="exact"/>
        <w:rPr>
          <w:rFonts w:hint="eastAsia" w:ascii="宋体" w:hAnsi="宋体"/>
          <w:bCs/>
          <w:sz w:val="36"/>
          <w:szCs w:val="36"/>
        </w:rPr>
      </w:pPr>
      <w:r>
        <w:rPr>
          <w:rFonts w:hint="eastAsia" w:ascii="宋体" w:hAnsi="宋体"/>
          <w:bCs/>
          <w:sz w:val="36"/>
          <w:szCs w:val="36"/>
          <w:lang w:eastAsia="zh-CN"/>
        </w:rPr>
        <w:t>一、主要</w:t>
      </w:r>
      <w:r>
        <w:rPr>
          <w:rFonts w:hint="eastAsia" w:ascii="宋体" w:hAnsi="宋体"/>
          <w:bCs/>
          <w:sz w:val="36"/>
          <w:szCs w:val="36"/>
        </w:rPr>
        <w:t>职责</w:t>
      </w:r>
    </w:p>
    <w:p w14:paraId="32758B35">
      <w:pPr>
        <w:numPr>
          <w:ilvl w:val="0"/>
          <w:numId w:val="0"/>
        </w:numPr>
        <w:spacing w:line="550" w:lineRule="exact"/>
        <w:rPr>
          <w:rFonts w:hint="eastAsia" w:ascii="宋体" w:hAnsi="宋体"/>
          <w:bCs/>
          <w:sz w:val="36"/>
          <w:szCs w:val="36"/>
        </w:rPr>
      </w:pPr>
      <w:r>
        <w:rPr>
          <w:rFonts w:hint="eastAsia" w:ascii="宋体" w:hAnsi="宋体"/>
          <w:bCs/>
          <w:sz w:val="36"/>
          <w:szCs w:val="36"/>
        </w:rPr>
        <w:t>二、</w:t>
      </w:r>
      <w:r>
        <w:rPr>
          <w:rFonts w:hint="eastAsia" w:ascii="宋体" w:hAnsi="宋体"/>
          <w:bCs/>
          <w:sz w:val="36"/>
          <w:szCs w:val="36"/>
          <w:lang w:eastAsia="zh-CN"/>
        </w:rPr>
        <w:t>单位决算构成</w:t>
      </w:r>
    </w:p>
    <w:p w14:paraId="49028F8C">
      <w:pPr>
        <w:spacing w:line="550" w:lineRule="exact"/>
        <w:rPr>
          <w:rFonts w:hint="eastAsia" w:ascii="宋体" w:hAnsi="宋体"/>
          <w:b/>
          <w:sz w:val="36"/>
          <w:szCs w:val="36"/>
        </w:rPr>
      </w:pPr>
      <w:r>
        <w:rPr>
          <w:rFonts w:hint="eastAsia" w:ascii="宋体" w:hAnsi="宋体"/>
          <w:b/>
          <w:sz w:val="36"/>
          <w:szCs w:val="36"/>
        </w:rPr>
        <w:t>第二部分 淮北市城市建设档案馆</w:t>
      </w:r>
      <w:r>
        <w:rPr>
          <w:rFonts w:hint="eastAsia" w:ascii="宋体" w:hAnsi="宋体"/>
          <w:b/>
          <w:sz w:val="36"/>
          <w:szCs w:val="36"/>
          <w:lang w:eastAsia="zh-CN"/>
        </w:rPr>
        <w:t>202</w:t>
      </w:r>
      <w:r>
        <w:rPr>
          <w:rFonts w:hint="eastAsia" w:ascii="宋体" w:hAnsi="宋体"/>
          <w:b/>
          <w:sz w:val="36"/>
          <w:szCs w:val="36"/>
          <w:lang w:val="en-US" w:eastAsia="zh-CN"/>
        </w:rPr>
        <w:t>3</w:t>
      </w:r>
      <w:r>
        <w:rPr>
          <w:rFonts w:hint="eastAsia" w:ascii="宋体" w:hAnsi="宋体"/>
          <w:b/>
          <w:sz w:val="36"/>
          <w:szCs w:val="36"/>
        </w:rPr>
        <w:t>年度</w:t>
      </w:r>
      <w:r>
        <w:rPr>
          <w:rFonts w:hint="eastAsia" w:ascii="宋体" w:hAnsi="宋体"/>
          <w:b/>
          <w:sz w:val="36"/>
          <w:szCs w:val="36"/>
          <w:lang w:eastAsia="zh-CN"/>
        </w:rPr>
        <w:t>单位决算</w:t>
      </w:r>
      <w:r>
        <w:rPr>
          <w:rFonts w:hint="eastAsia" w:ascii="宋体" w:hAnsi="宋体"/>
          <w:b/>
          <w:sz w:val="36"/>
          <w:szCs w:val="36"/>
        </w:rPr>
        <w:t>情况说明</w:t>
      </w:r>
    </w:p>
    <w:p w14:paraId="1B1BB413">
      <w:pPr>
        <w:spacing w:line="550" w:lineRule="exact"/>
        <w:rPr>
          <w:rFonts w:hint="eastAsia" w:ascii="宋体" w:hAnsi="宋体"/>
          <w:bCs/>
          <w:sz w:val="36"/>
          <w:szCs w:val="36"/>
        </w:rPr>
      </w:pPr>
      <w:r>
        <w:rPr>
          <w:rFonts w:hint="eastAsia" w:ascii="宋体" w:hAnsi="宋体"/>
          <w:bCs/>
          <w:sz w:val="36"/>
          <w:szCs w:val="36"/>
        </w:rPr>
        <w:t>一、收入支出决算总体情况</w:t>
      </w:r>
      <w:r>
        <w:rPr>
          <w:rFonts w:hint="eastAsia" w:ascii="宋体" w:hAnsi="宋体"/>
          <w:bCs/>
          <w:color w:val="auto"/>
          <w:sz w:val="36"/>
          <w:szCs w:val="36"/>
        </w:rPr>
        <w:t>说明</w:t>
      </w:r>
    </w:p>
    <w:p w14:paraId="7DAD947F">
      <w:pPr>
        <w:spacing w:line="550" w:lineRule="exact"/>
        <w:rPr>
          <w:rFonts w:hint="eastAsia" w:ascii="宋体" w:hAnsi="宋体"/>
          <w:bCs/>
          <w:sz w:val="36"/>
          <w:szCs w:val="36"/>
        </w:rPr>
      </w:pPr>
      <w:r>
        <w:rPr>
          <w:rFonts w:hint="eastAsia" w:ascii="宋体" w:hAnsi="宋体"/>
          <w:bCs/>
          <w:sz w:val="36"/>
          <w:szCs w:val="36"/>
        </w:rPr>
        <w:t>二、收入决算情况说明</w:t>
      </w:r>
    </w:p>
    <w:p w14:paraId="7AE91F93">
      <w:pPr>
        <w:spacing w:line="550" w:lineRule="exact"/>
        <w:rPr>
          <w:rFonts w:hint="eastAsia" w:ascii="宋体" w:hAnsi="宋体"/>
          <w:bCs/>
          <w:sz w:val="36"/>
          <w:szCs w:val="36"/>
        </w:rPr>
      </w:pPr>
      <w:r>
        <w:rPr>
          <w:rFonts w:hint="eastAsia" w:ascii="宋体" w:hAnsi="宋体"/>
          <w:bCs/>
          <w:sz w:val="36"/>
          <w:szCs w:val="36"/>
        </w:rPr>
        <w:t>三、支出决算情况说明</w:t>
      </w:r>
    </w:p>
    <w:p w14:paraId="107D7B28">
      <w:pPr>
        <w:spacing w:line="550" w:lineRule="exact"/>
        <w:rPr>
          <w:rFonts w:hint="eastAsia" w:ascii="宋体" w:hAnsi="宋体"/>
          <w:bCs/>
          <w:sz w:val="36"/>
          <w:szCs w:val="36"/>
        </w:rPr>
      </w:pPr>
      <w:r>
        <w:rPr>
          <w:rFonts w:hint="eastAsia" w:ascii="宋体" w:hAnsi="宋体"/>
          <w:bCs/>
          <w:sz w:val="36"/>
          <w:szCs w:val="36"/>
        </w:rPr>
        <w:t>四、财政拨款收入支出决算总体情况说明</w:t>
      </w:r>
    </w:p>
    <w:p w14:paraId="664D803D">
      <w:pPr>
        <w:spacing w:line="550" w:lineRule="exact"/>
        <w:rPr>
          <w:rFonts w:hint="eastAsia" w:ascii="宋体" w:hAnsi="宋体"/>
          <w:bCs/>
          <w:sz w:val="36"/>
          <w:szCs w:val="36"/>
        </w:rPr>
      </w:pPr>
      <w:r>
        <w:rPr>
          <w:rFonts w:hint="eastAsia" w:ascii="宋体" w:hAnsi="宋体"/>
          <w:bCs/>
          <w:sz w:val="36"/>
          <w:szCs w:val="36"/>
        </w:rPr>
        <w:t>五、一般公共预算财政拨款支出决算情况说明</w:t>
      </w:r>
    </w:p>
    <w:p w14:paraId="7F40A3C1">
      <w:pPr>
        <w:spacing w:line="550" w:lineRule="exact"/>
        <w:rPr>
          <w:rFonts w:hint="eastAsia" w:ascii="宋体" w:hAnsi="宋体"/>
          <w:bCs/>
          <w:sz w:val="36"/>
          <w:szCs w:val="36"/>
        </w:rPr>
      </w:pPr>
      <w:r>
        <w:rPr>
          <w:rFonts w:hint="eastAsia" w:ascii="宋体" w:hAnsi="宋体"/>
          <w:bCs/>
          <w:sz w:val="36"/>
          <w:szCs w:val="36"/>
        </w:rPr>
        <w:t>六、一般公共预算财政拨款基本支出决算情况说明</w:t>
      </w:r>
    </w:p>
    <w:p w14:paraId="48802126">
      <w:pPr>
        <w:spacing w:line="550" w:lineRule="exact"/>
        <w:rPr>
          <w:rFonts w:hint="eastAsia" w:ascii="宋体" w:hAnsi="宋体"/>
          <w:bCs/>
          <w:sz w:val="36"/>
          <w:szCs w:val="36"/>
        </w:rPr>
      </w:pPr>
      <w:r>
        <w:rPr>
          <w:rFonts w:hint="eastAsia" w:ascii="宋体" w:hAnsi="宋体"/>
          <w:bCs/>
          <w:sz w:val="36"/>
          <w:szCs w:val="36"/>
        </w:rPr>
        <w:t>七、政府性基金</w:t>
      </w:r>
      <w:r>
        <w:rPr>
          <w:rFonts w:hint="eastAsia" w:ascii="宋体" w:hAnsi="宋体"/>
          <w:bCs/>
          <w:sz w:val="36"/>
          <w:szCs w:val="36"/>
          <w:lang w:val="en-US" w:eastAsia="zh-CN"/>
        </w:rPr>
        <w:t>预算</w:t>
      </w:r>
      <w:r>
        <w:rPr>
          <w:rFonts w:hint="eastAsia" w:ascii="宋体" w:hAnsi="宋体"/>
          <w:bCs/>
          <w:sz w:val="36"/>
          <w:szCs w:val="36"/>
        </w:rPr>
        <w:t>财政拨款收入支出决算情况说明</w:t>
      </w:r>
    </w:p>
    <w:p w14:paraId="57D2BE13">
      <w:pPr>
        <w:spacing w:line="550" w:lineRule="exact"/>
        <w:rPr>
          <w:rFonts w:hint="eastAsia" w:ascii="宋体" w:hAnsi="宋体"/>
          <w:bCs/>
          <w:sz w:val="36"/>
          <w:szCs w:val="36"/>
        </w:rPr>
      </w:pPr>
      <w:r>
        <w:rPr>
          <w:rFonts w:hint="eastAsia" w:ascii="宋体" w:hAnsi="宋体"/>
          <w:bCs/>
          <w:sz w:val="36"/>
          <w:szCs w:val="36"/>
        </w:rPr>
        <w:t>八、国有资本经营预算财政拨款支出决算情况说明</w:t>
      </w:r>
    </w:p>
    <w:p w14:paraId="4E9E6CF2">
      <w:pPr>
        <w:spacing w:line="550" w:lineRule="exact"/>
        <w:rPr>
          <w:rFonts w:hint="eastAsia" w:ascii="宋体" w:hAnsi="宋体"/>
          <w:bCs/>
          <w:sz w:val="36"/>
          <w:szCs w:val="36"/>
        </w:rPr>
      </w:pPr>
      <w:r>
        <w:rPr>
          <w:rFonts w:hint="eastAsia" w:ascii="宋体" w:hAnsi="宋体"/>
          <w:bCs/>
          <w:sz w:val="36"/>
          <w:szCs w:val="36"/>
        </w:rPr>
        <w:t>九、其他重要事项情况说明</w:t>
      </w:r>
    </w:p>
    <w:p w14:paraId="4818D47A">
      <w:pPr>
        <w:spacing w:line="550" w:lineRule="exact"/>
        <w:rPr>
          <w:rFonts w:hint="eastAsia" w:ascii="宋体" w:hAnsi="宋体"/>
          <w:b/>
          <w:sz w:val="36"/>
          <w:szCs w:val="36"/>
        </w:rPr>
      </w:pPr>
      <w:r>
        <w:rPr>
          <w:rFonts w:hint="eastAsia" w:ascii="宋体" w:hAnsi="宋体"/>
          <w:b/>
          <w:sz w:val="36"/>
          <w:szCs w:val="36"/>
        </w:rPr>
        <w:t>第</w:t>
      </w:r>
      <w:r>
        <w:rPr>
          <w:rFonts w:hint="eastAsia" w:ascii="宋体" w:hAnsi="宋体"/>
          <w:b/>
          <w:sz w:val="36"/>
          <w:szCs w:val="36"/>
          <w:lang w:val="en-US" w:eastAsia="zh-CN"/>
        </w:rPr>
        <w:t>三</w:t>
      </w:r>
      <w:r>
        <w:rPr>
          <w:rFonts w:hint="eastAsia" w:ascii="宋体" w:hAnsi="宋体"/>
          <w:b/>
          <w:sz w:val="36"/>
          <w:szCs w:val="36"/>
        </w:rPr>
        <w:t>部分  名词解释</w:t>
      </w:r>
    </w:p>
    <w:p w14:paraId="6EB55EA2">
      <w:pPr>
        <w:spacing w:line="550" w:lineRule="exact"/>
        <w:rPr>
          <w:rFonts w:hint="eastAsia" w:ascii="宋体" w:hAnsi="宋体" w:cs="Times New Roman"/>
          <w:bCs/>
          <w:sz w:val="36"/>
          <w:szCs w:val="36"/>
          <w:lang w:val="en-US" w:eastAsia="zh-CN"/>
        </w:rPr>
      </w:pPr>
      <w:r>
        <w:rPr>
          <w:rFonts w:hint="eastAsia" w:ascii="宋体" w:hAnsi="宋体"/>
          <w:b/>
          <w:sz w:val="36"/>
          <w:szCs w:val="36"/>
          <w:lang w:eastAsia="zh-CN"/>
        </w:rPr>
        <w:t>附件：</w:t>
      </w:r>
      <w:r>
        <w:rPr>
          <w:rFonts w:hint="eastAsia" w:ascii="宋体" w:hAnsi="宋体" w:cs="Times New Roman"/>
          <w:bCs/>
          <w:sz w:val="36"/>
          <w:szCs w:val="36"/>
          <w:lang w:val="en-US" w:eastAsia="zh-CN"/>
        </w:rPr>
        <w:t>1.淮北市城市建设档案馆2023年度单位决算表</w:t>
      </w:r>
    </w:p>
    <w:p w14:paraId="491D6BA1">
      <w:pPr>
        <w:spacing w:line="550" w:lineRule="exact"/>
        <w:rPr>
          <w:rFonts w:hint="eastAsia" w:ascii="宋体" w:hAnsi="宋体" w:cs="Times New Roman"/>
          <w:bCs/>
          <w:sz w:val="36"/>
          <w:szCs w:val="36"/>
          <w:lang w:val="en-US" w:eastAsia="zh-CN"/>
        </w:rPr>
      </w:pPr>
      <w:r>
        <w:rPr>
          <w:rFonts w:hint="eastAsia" w:ascii="宋体" w:hAnsi="宋体" w:cs="Times New Roman"/>
          <w:bCs/>
          <w:sz w:val="36"/>
          <w:szCs w:val="36"/>
          <w:lang w:val="en-US" w:eastAsia="zh-CN"/>
        </w:rPr>
        <w:t xml:space="preserve">      2.2023年度项目支出绩效自评表</w:t>
      </w:r>
    </w:p>
    <w:p w14:paraId="495DAFA6">
      <w:pPr>
        <w:spacing w:line="550" w:lineRule="exact"/>
        <w:rPr>
          <w:rFonts w:hint="default" w:ascii="宋体" w:hAnsi="宋体"/>
          <w:bCs/>
          <w:sz w:val="36"/>
          <w:szCs w:val="36"/>
          <w:lang w:val="en-US" w:eastAsia="zh-CN"/>
        </w:rPr>
      </w:pPr>
    </w:p>
    <w:p w14:paraId="606C17E1">
      <w:pPr>
        <w:spacing w:line="550" w:lineRule="exact"/>
        <w:rPr>
          <w:rFonts w:hint="eastAsia" w:ascii="宋体" w:hAnsi="宋体"/>
          <w:b/>
          <w:sz w:val="36"/>
          <w:szCs w:val="36"/>
        </w:rPr>
      </w:pPr>
    </w:p>
    <w:p w14:paraId="0BBF54EC">
      <w:pPr>
        <w:rPr>
          <w:rFonts w:hint="eastAsia" w:ascii="宋体" w:hAnsi="宋体"/>
          <w:b/>
          <w:sz w:val="36"/>
          <w:szCs w:val="36"/>
        </w:rPr>
      </w:pPr>
    </w:p>
    <w:p w14:paraId="4644822E">
      <w:pPr>
        <w:adjustRightInd w:val="0"/>
        <w:snapToGrid w:val="0"/>
        <w:spacing w:line="360" w:lineRule="auto"/>
        <w:jc w:val="center"/>
        <w:rPr>
          <w:rFonts w:hint="eastAsia" w:ascii="黑体" w:hAnsi="黑体" w:eastAsia="黑体"/>
          <w:szCs w:val="32"/>
        </w:rPr>
      </w:pPr>
      <w:r>
        <w:rPr>
          <w:rFonts w:hint="eastAsia" w:ascii="宋体" w:hAnsi="宋体"/>
          <w:b/>
          <w:sz w:val="36"/>
          <w:szCs w:val="36"/>
        </w:rPr>
        <w:br w:type="page"/>
      </w:r>
      <w:r>
        <w:rPr>
          <w:rFonts w:hint="eastAsia" w:ascii="黑体" w:hAnsi="黑体" w:eastAsia="黑体"/>
          <w:szCs w:val="32"/>
        </w:rPr>
        <w:t>第一部分 淮北市</w:t>
      </w:r>
      <w:r>
        <w:rPr>
          <w:rFonts w:hint="eastAsia" w:ascii="黑体" w:hAnsi="黑体" w:eastAsia="黑体" w:cs="Times New Roman"/>
          <w:szCs w:val="32"/>
          <w:lang w:eastAsia="zh-CN"/>
        </w:rPr>
        <w:t>城市建设档案馆</w:t>
      </w:r>
      <w:r>
        <w:rPr>
          <w:rFonts w:hint="eastAsia" w:ascii="黑体" w:hAnsi="黑体" w:eastAsia="黑体"/>
          <w:szCs w:val="32"/>
        </w:rPr>
        <w:t>概况</w:t>
      </w:r>
    </w:p>
    <w:p w14:paraId="6E00F274">
      <w:pPr>
        <w:ind w:firstLine="640" w:firstLineChars="200"/>
        <w:rPr>
          <w:rFonts w:hint="eastAsia" w:ascii="黑体" w:hAnsi="黑体" w:eastAsia="黑体"/>
          <w:szCs w:val="32"/>
        </w:rPr>
      </w:pPr>
      <w:r>
        <w:rPr>
          <w:rFonts w:hint="eastAsia" w:ascii="黑体" w:hAnsi="黑体" w:eastAsia="黑体"/>
          <w:szCs w:val="32"/>
        </w:rPr>
        <w:t>一、</w:t>
      </w:r>
      <w:r>
        <w:rPr>
          <w:rFonts w:hint="eastAsia" w:ascii="黑体" w:hAnsi="黑体" w:eastAsia="黑体"/>
          <w:szCs w:val="32"/>
          <w:lang w:eastAsia="zh-CN"/>
        </w:rPr>
        <w:t>主要</w:t>
      </w:r>
      <w:r>
        <w:rPr>
          <w:rFonts w:hint="eastAsia" w:ascii="黑体" w:hAnsi="黑体" w:eastAsia="黑体"/>
          <w:szCs w:val="32"/>
        </w:rPr>
        <w:t>职责</w:t>
      </w:r>
    </w:p>
    <w:p w14:paraId="28326CDB">
      <w:pPr>
        <w:adjustRightInd w:val="0"/>
        <w:snapToGrid w:val="0"/>
        <w:spacing w:line="360" w:lineRule="auto"/>
        <w:ind w:firstLine="640" w:firstLineChars="200"/>
        <w:rPr>
          <w:rFonts w:ascii="仿宋_GB2312" w:hAnsi="仿宋_GB2312" w:cs="仿宋_GB2312"/>
          <w:szCs w:val="32"/>
        </w:rPr>
      </w:pPr>
      <w:r>
        <w:rPr>
          <w:rFonts w:hint="eastAsia" w:ascii="仿宋_GB2312" w:hAnsi="仿宋_GB2312" w:cs="仿宋_GB2312"/>
          <w:szCs w:val="32"/>
        </w:rPr>
        <w:t>根据2016年淮北市调整城市规划建设管理体制改革和2019年机构体制改革的意见，调整后市城建档案馆主要职责如下：</w:t>
      </w:r>
    </w:p>
    <w:p w14:paraId="5E975353">
      <w:pPr>
        <w:pStyle w:val="5"/>
        <w:wordWrap w:val="0"/>
        <w:adjustRightInd w:val="0"/>
        <w:snapToGrid w:val="0"/>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（1）负责贯彻落实国家城市建设工程档案及城市地下管线工程档案法律法规，拟订并组织实施全市城市建设档案事业发展规划，制订本市城建档案规范性文件和业务技术标准。</w:t>
      </w:r>
    </w:p>
    <w:p w14:paraId="560CBBEE">
      <w:pPr>
        <w:pStyle w:val="5"/>
        <w:wordWrap w:val="0"/>
        <w:adjustRightInd w:val="0"/>
        <w:snapToGrid w:val="0"/>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（2）负责对全市城市建设档案及城市地下管线工程档案的监督指导、综合管理和信息化建设工作，指导区、县及各建设单位城建档案工作。</w:t>
      </w:r>
    </w:p>
    <w:p w14:paraId="6349554F">
      <w:pPr>
        <w:pStyle w:val="5"/>
        <w:wordWrap w:val="0"/>
        <w:adjustRightInd w:val="0"/>
        <w:snapToGrid w:val="0"/>
        <w:spacing w:before="0" w:beforeAutospacing="0" w:after="0" w:afterAutospacing="0" w:line="360" w:lineRule="auto"/>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（3）负责城建档案工作的日常管理工作，对列入城建档案馆接收范围的工程档案进行业务指导，参加建设工程竣工联合验收，核发《建设工程档案业务指导意见书》和《建设工程档案接收与移交证明》。</w:t>
      </w:r>
    </w:p>
    <w:p w14:paraId="73F1C0B8">
      <w:pPr>
        <w:pStyle w:val="5"/>
        <w:wordWrap w:val="0"/>
        <w:adjustRightInd w:val="0"/>
        <w:snapToGrid w:val="0"/>
        <w:spacing w:before="0" w:beforeAutospacing="0" w:after="0" w:afterAutospacing="0" w:line="360" w:lineRule="auto"/>
        <w:ind w:firstLine="640" w:firstLineChars="200"/>
        <w:jc w:val="both"/>
        <w:rPr>
          <w:rFonts w:hint="eastAsia" w:ascii="黑体" w:hAnsi="黑体" w:eastAsia="黑体"/>
          <w:szCs w:val="32"/>
        </w:rPr>
      </w:pPr>
      <w:r>
        <w:rPr>
          <w:rFonts w:hint="eastAsia" w:ascii="仿宋_GB2312" w:hAnsi="仿宋_GB2312" w:eastAsia="仿宋_GB2312" w:cs="仿宋_GB2312"/>
          <w:sz w:val="32"/>
          <w:szCs w:val="32"/>
          <w:shd w:val="clear" w:color="auto" w:fill="FFFFFF"/>
        </w:rPr>
        <w:t>（4）负责对全市城市建设档案和城市地下管线工程档案统一接收、保管、调阅利用、编研、验收、管理及档案信息资源的开发利用，为城市规划、建设、管理提供基础数据支撑。</w:t>
      </w:r>
    </w:p>
    <w:p w14:paraId="40F2C2A2">
      <w:pPr>
        <w:ind w:firstLine="640" w:firstLineChars="200"/>
        <w:rPr>
          <w:rFonts w:hint="eastAsia" w:ascii="黑体" w:hAnsi="黑体" w:eastAsia="黑体"/>
          <w:szCs w:val="32"/>
        </w:rPr>
      </w:pPr>
      <w:r>
        <w:rPr>
          <w:rFonts w:hint="eastAsia" w:ascii="黑体" w:hAnsi="黑体" w:eastAsia="黑体"/>
          <w:szCs w:val="32"/>
        </w:rPr>
        <w:t>二、单位决算构成</w:t>
      </w:r>
    </w:p>
    <w:p w14:paraId="6EF1FB5E">
      <w:pPr>
        <w:ind w:firstLine="640" w:firstLineChars="200"/>
        <w:rPr>
          <w:rFonts w:hint="eastAsia" w:ascii="仿宋_GB2312" w:hAnsi="仿宋"/>
          <w:szCs w:val="32"/>
        </w:rPr>
      </w:pPr>
      <w:r>
        <w:rPr>
          <w:rFonts w:hint="eastAsia" w:ascii="仿宋_GB2312" w:hAnsi="仿宋"/>
          <w:szCs w:val="32"/>
          <w:lang w:eastAsia="zh-CN"/>
        </w:rPr>
        <w:t>淮北市城市建设档案馆</w:t>
      </w:r>
      <w:r>
        <w:rPr>
          <w:rFonts w:hint="eastAsia" w:ascii="仿宋_GB2312" w:hAnsi="仿宋"/>
          <w:szCs w:val="32"/>
        </w:rPr>
        <w:t>202</w:t>
      </w:r>
      <w:r>
        <w:rPr>
          <w:rFonts w:hint="eastAsia" w:ascii="仿宋_GB2312" w:hAnsi="仿宋"/>
          <w:szCs w:val="32"/>
          <w:lang w:val="en-US" w:eastAsia="zh-CN"/>
        </w:rPr>
        <w:t>3</w:t>
      </w:r>
      <w:r>
        <w:rPr>
          <w:rFonts w:hint="eastAsia" w:ascii="仿宋_GB2312" w:hAnsi="仿宋"/>
          <w:szCs w:val="32"/>
        </w:rPr>
        <w:t>年度单位决算仅包括单位本级决算，无其他下属单位决算。</w:t>
      </w:r>
    </w:p>
    <w:p w14:paraId="79D2248C">
      <w:pPr>
        <w:ind w:firstLine="640" w:firstLineChars="200"/>
        <w:rPr>
          <w:rFonts w:hint="eastAsia" w:ascii="仿宋_GB2312" w:hAnsi="仿宋"/>
          <w:szCs w:val="32"/>
        </w:rPr>
      </w:pPr>
      <w:r>
        <w:rPr>
          <w:rFonts w:hint="eastAsia" w:ascii="仿宋_GB2312" w:hAnsi="仿宋"/>
          <w:szCs w:val="32"/>
        </w:rPr>
        <w:t>纳入</w:t>
      </w:r>
      <w:r>
        <w:rPr>
          <w:rFonts w:hint="eastAsia" w:ascii="仿宋_GB2312" w:hAnsi="仿宋"/>
          <w:szCs w:val="32"/>
          <w:lang w:eastAsia="zh-CN"/>
        </w:rPr>
        <w:t>淮北市城市建设档案馆</w:t>
      </w:r>
      <w:r>
        <w:rPr>
          <w:rFonts w:hint="eastAsia" w:ascii="仿宋_GB2312" w:hAnsi="仿宋"/>
          <w:szCs w:val="32"/>
        </w:rPr>
        <w:t>202</w:t>
      </w:r>
      <w:r>
        <w:rPr>
          <w:rFonts w:hint="eastAsia" w:ascii="仿宋_GB2312" w:hAnsi="仿宋"/>
          <w:szCs w:val="32"/>
          <w:lang w:val="en-US" w:eastAsia="zh-CN"/>
        </w:rPr>
        <w:t>3</w:t>
      </w:r>
      <w:r>
        <w:rPr>
          <w:rFonts w:hint="eastAsia" w:ascii="仿宋_GB2312" w:hAnsi="仿宋"/>
          <w:szCs w:val="32"/>
        </w:rPr>
        <w:t>年度单位决算编制范围的下属单位共</w:t>
      </w:r>
      <w:r>
        <w:rPr>
          <w:rFonts w:hint="eastAsia" w:ascii="仿宋_GB2312" w:hAnsi="仿宋"/>
          <w:szCs w:val="32"/>
          <w:lang w:val="en-US" w:eastAsia="zh-CN"/>
        </w:rPr>
        <w:t>0</w:t>
      </w:r>
      <w:r>
        <w:rPr>
          <w:rFonts w:hint="eastAsia" w:ascii="仿宋_GB2312" w:hAnsi="仿宋"/>
          <w:szCs w:val="32"/>
        </w:rPr>
        <w:t>个，</w:t>
      </w:r>
      <w:r>
        <w:rPr>
          <w:rFonts w:hint="eastAsia" w:ascii="仿宋_GB2312" w:hAnsi="仿宋"/>
          <w:szCs w:val="32"/>
          <w:lang w:eastAsia="zh-CN"/>
        </w:rPr>
        <w:t>具体</w:t>
      </w:r>
      <w:r>
        <w:rPr>
          <w:rFonts w:hint="eastAsia" w:ascii="仿宋_GB2312" w:hAnsi="仿宋"/>
          <w:szCs w:val="32"/>
        </w:rPr>
        <w:t>情况见下表：</w:t>
      </w:r>
    </w:p>
    <w:tbl>
      <w:tblPr>
        <w:tblStyle w:val="6"/>
        <w:tblW w:w="0" w:type="auto"/>
        <w:tblInd w:w="828" w:type="dxa"/>
        <w:shd w:val="clear" w:color="auto" w:fill="FFFFFF"/>
        <w:tblLayout w:type="fixed"/>
        <w:tblCellMar>
          <w:top w:w="0" w:type="dxa"/>
          <w:left w:w="0" w:type="dxa"/>
          <w:bottom w:w="0" w:type="dxa"/>
          <w:right w:w="0" w:type="dxa"/>
        </w:tblCellMar>
      </w:tblPr>
      <w:tblGrid>
        <w:gridCol w:w="1389"/>
        <w:gridCol w:w="5837"/>
      </w:tblGrid>
      <w:tr w14:paraId="2345F205">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389E063">
            <w:pPr>
              <w:jc w:val="center"/>
              <w:rPr>
                <w:rFonts w:hint="eastAsia" w:ascii="宋体" w:hAnsi="宋体"/>
                <w:sz w:val="24"/>
              </w:rPr>
            </w:pPr>
            <w:r>
              <w:rPr>
                <w:rFonts w:hint="eastAsia" w:ascii="宋体"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C5BA08">
            <w:pPr>
              <w:jc w:val="center"/>
              <w:rPr>
                <w:rFonts w:hint="eastAsia" w:ascii="宋体" w:hAnsi="宋体"/>
                <w:sz w:val="24"/>
              </w:rPr>
            </w:pPr>
            <w:r>
              <w:rPr>
                <w:rFonts w:hint="eastAsia" w:ascii="宋体" w:hAnsi="宋体"/>
                <w:sz w:val="24"/>
              </w:rPr>
              <w:t>单位名称</w:t>
            </w:r>
          </w:p>
        </w:tc>
      </w:tr>
      <w:tr w14:paraId="45685CC9">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B569B2">
            <w:pPr>
              <w:jc w:val="center"/>
              <w:rPr>
                <w:rFonts w:hint="eastAsia" w:ascii="宋体" w:hAnsi="宋体" w:cs="宋体"/>
                <w:sz w:val="24"/>
              </w:rPr>
            </w:pPr>
            <w:r>
              <w:rPr>
                <w:rFonts w:hint="eastAsia" w:ascii="宋体" w:hAnsi="宋体"/>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DE2A9F1">
            <w:pPr>
              <w:rPr>
                <w:rFonts w:hint="eastAsia" w:ascii="宋体" w:hAnsi="宋体" w:eastAsia="仿宋_GB2312"/>
                <w:sz w:val="24"/>
                <w:lang w:eastAsia="zh-CN"/>
              </w:rPr>
            </w:pPr>
            <w:r>
              <w:rPr>
                <w:rFonts w:hint="eastAsia" w:ascii="宋体" w:hAnsi="宋体"/>
                <w:sz w:val="24"/>
              </w:rPr>
              <w:t>淮北市城市建设档案馆</w:t>
            </w:r>
          </w:p>
        </w:tc>
      </w:tr>
    </w:tbl>
    <w:p w14:paraId="62B2BE6C">
      <w:pPr>
        <w:rPr>
          <w:rFonts w:hint="eastAsia" w:ascii="仿宋_GB2312" w:hAnsi="黑体"/>
          <w:szCs w:val="32"/>
        </w:rPr>
      </w:pPr>
    </w:p>
    <w:p w14:paraId="2EEFFDED">
      <w:pPr>
        <w:ind w:firstLine="640" w:firstLineChars="200"/>
        <w:rPr>
          <w:rFonts w:hint="eastAsia" w:ascii="黑体" w:hAnsi="黑体" w:eastAsia="黑体"/>
          <w:szCs w:val="32"/>
        </w:rPr>
      </w:pPr>
      <w:r>
        <w:rPr>
          <w:rFonts w:hint="eastAsia" w:ascii="黑体" w:hAnsi="黑体" w:eastAsia="黑体"/>
          <w:szCs w:val="32"/>
        </w:rPr>
        <w:t>第二部分</w:t>
      </w:r>
      <w:r>
        <w:rPr>
          <w:rFonts w:hint="eastAsia" w:ascii="黑体" w:hAnsi="黑体" w:eastAsia="黑体"/>
          <w:szCs w:val="32"/>
          <w:lang w:val="en-US" w:eastAsia="zh-CN"/>
        </w:rPr>
        <w:t xml:space="preserve"> </w:t>
      </w:r>
      <w:r>
        <w:rPr>
          <w:rFonts w:hint="eastAsia" w:ascii="黑体" w:hAnsi="黑体" w:eastAsia="黑体"/>
          <w:szCs w:val="32"/>
        </w:rPr>
        <w:t>淮北市</w:t>
      </w:r>
      <w:r>
        <w:rPr>
          <w:rFonts w:hint="eastAsia" w:ascii="黑体" w:hAnsi="黑体" w:eastAsia="黑体"/>
          <w:szCs w:val="32"/>
          <w:lang w:eastAsia="zh-CN"/>
        </w:rPr>
        <w:t>城市建设档案馆202</w:t>
      </w:r>
      <w:r>
        <w:rPr>
          <w:rFonts w:hint="eastAsia" w:ascii="黑体" w:hAnsi="黑体" w:eastAsia="黑体"/>
          <w:szCs w:val="32"/>
          <w:lang w:val="en-US" w:eastAsia="zh-CN"/>
        </w:rPr>
        <w:t>3</w:t>
      </w:r>
      <w:r>
        <w:rPr>
          <w:rFonts w:hint="eastAsia" w:ascii="黑体" w:hAnsi="黑体" w:eastAsia="黑体"/>
          <w:szCs w:val="32"/>
        </w:rPr>
        <w:t>年度</w:t>
      </w:r>
      <w:r>
        <w:rPr>
          <w:rFonts w:hint="eastAsia" w:ascii="黑体" w:hAnsi="黑体" w:eastAsia="黑体"/>
          <w:szCs w:val="32"/>
          <w:lang w:eastAsia="zh-CN"/>
        </w:rPr>
        <w:t>单位决算</w:t>
      </w:r>
      <w:r>
        <w:rPr>
          <w:rFonts w:hint="eastAsia" w:ascii="黑体" w:hAnsi="黑体" w:eastAsia="黑体"/>
          <w:szCs w:val="32"/>
        </w:rPr>
        <w:t>情况说明</w:t>
      </w:r>
    </w:p>
    <w:p w14:paraId="740DA161">
      <w:pPr>
        <w:ind w:firstLine="640" w:firstLineChars="200"/>
        <w:rPr>
          <w:rFonts w:hint="eastAsia" w:ascii="黑体" w:hAnsi="黑体" w:eastAsia="黑体"/>
          <w:szCs w:val="32"/>
        </w:rPr>
      </w:pPr>
      <w:r>
        <w:rPr>
          <w:rFonts w:hint="eastAsia" w:ascii="黑体" w:hAnsi="黑体" w:eastAsia="黑体"/>
          <w:szCs w:val="32"/>
        </w:rPr>
        <w:t>一、收入支出决算总体情况说明</w:t>
      </w:r>
    </w:p>
    <w:p w14:paraId="3893FEC9">
      <w:pPr>
        <w:ind w:firstLine="640" w:firstLineChars="200"/>
        <w:rPr>
          <w:rFonts w:hint="eastAsia" w:ascii="仿宋_GB2312" w:hAnsi="仿宋" w:eastAsia="宋体"/>
          <w:szCs w:val="32"/>
          <w:lang w:eastAsia="zh-CN"/>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年度收入总计</w:t>
      </w:r>
      <w:r>
        <w:rPr>
          <w:rFonts w:hint="eastAsia" w:ascii="仿宋_GB2312" w:hAnsi="仿宋"/>
          <w:szCs w:val="32"/>
          <w:lang w:val="en-US" w:eastAsia="zh-CN"/>
        </w:rPr>
        <w:t>880.02</w:t>
      </w:r>
      <w:r>
        <w:rPr>
          <w:rFonts w:hint="eastAsia" w:ascii="仿宋_GB2312" w:hAnsi="仿宋"/>
          <w:szCs w:val="32"/>
        </w:rPr>
        <w:t>万元（含使用非财政拨款结余</w:t>
      </w:r>
      <w:r>
        <w:rPr>
          <w:rFonts w:hint="eastAsia" w:ascii="仿宋_GB2312" w:hAnsi="仿宋"/>
          <w:szCs w:val="32"/>
          <w:lang w:eastAsia="zh-CN"/>
        </w:rPr>
        <w:t>、</w:t>
      </w:r>
      <w:r>
        <w:rPr>
          <w:rFonts w:hint="eastAsia" w:ascii="仿宋_GB2312" w:hAnsi="仿宋"/>
          <w:szCs w:val="32"/>
        </w:rPr>
        <w:t>年初结转</w:t>
      </w:r>
      <w:r>
        <w:rPr>
          <w:rFonts w:hint="eastAsia" w:ascii="仿宋_GB2312" w:hAnsi="仿宋"/>
          <w:szCs w:val="32"/>
          <w:lang w:eastAsia="zh-CN"/>
        </w:rPr>
        <w:t>和</w:t>
      </w:r>
      <w:r>
        <w:rPr>
          <w:rFonts w:hint="eastAsia" w:ascii="仿宋_GB2312" w:hAnsi="仿宋"/>
          <w:szCs w:val="32"/>
        </w:rPr>
        <w:t>结余）、支出总计</w:t>
      </w:r>
      <w:r>
        <w:rPr>
          <w:rFonts w:hint="eastAsia" w:ascii="仿宋_GB2312" w:hAnsi="仿宋"/>
          <w:szCs w:val="32"/>
          <w:lang w:val="en-US" w:eastAsia="zh-CN"/>
        </w:rPr>
        <w:t>880.02</w:t>
      </w:r>
      <w:r>
        <w:rPr>
          <w:rFonts w:hint="eastAsia" w:ascii="仿宋_GB2312" w:hAnsi="仿宋"/>
          <w:szCs w:val="32"/>
        </w:rPr>
        <w:t>万元（含结余分配</w:t>
      </w:r>
      <w:r>
        <w:rPr>
          <w:rFonts w:hint="eastAsia" w:ascii="仿宋_GB2312" w:hAnsi="仿宋"/>
          <w:szCs w:val="32"/>
          <w:lang w:eastAsia="zh-CN"/>
        </w:rPr>
        <w:t>、</w:t>
      </w:r>
      <w:r>
        <w:rPr>
          <w:rFonts w:hint="eastAsia" w:ascii="仿宋_GB2312" w:hAnsi="仿宋"/>
          <w:szCs w:val="32"/>
        </w:rPr>
        <w:t>年末结转</w:t>
      </w:r>
      <w:r>
        <w:rPr>
          <w:rFonts w:hint="eastAsia" w:ascii="仿宋_GB2312" w:hAnsi="仿宋"/>
          <w:szCs w:val="32"/>
          <w:lang w:eastAsia="zh-CN"/>
        </w:rPr>
        <w:t>和</w:t>
      </w:r>
      <w:r>
        <w:rPr>
          <w:rFonts w:hint="eastAsia" w:ascii="仿宋_GB2312" w:hAnsi="仿宋"/>
          <w:szCs w:val="32"/>
        </w:rPr>
        <w:t>结余）。与</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年相比，收、支总计各增加</w:t>
      </w:r>
      <w:r>
        <w:rPr>
          <w:rFonts w:hint="eastAsia" w:ascii="仿宋_GB2312" w:hAnsi="仿宋"/>
          <w:szCs w:val="32"/>
          <w:lang w:val="en-US" w:eastAsia="zh-CN"/>
        </w:rPr>
        <w:t>466.44</w:t>
      </w:r>
      <w:r>
        <w:rPr>
          <w:rFonts w:hint="eastAsia" w:ascii="仿宋_GB2312" w:hAnsi="仿宋"/>
          <w:szCs w:val="32"/>
        </w:rPr>
        <w:t>万元，增长</w:t>
      </w:r>
      <w:r>
        <w:rPr>
          <w:rFonts w:hint="eastAsia" w:ascii="仿宋_GB2312" w:hAnsi="仿宋"/>
          <w:szCs w:val="32"/>
          <w:lang w:val="en-US" w:eastAsia="zh-CN"/>
        </w:rPr>
        <w:t>112.78</w:t>
      </w:r>
      <w:r>
        <w:rPr>
          <w:rFonts w:hint="eastAsia" w:ascii="仿宋_GB2312" w:hAnsi="仿宋"/>
          <w:szCs w:val="32"/>
        </w:rPr>
        <w:t>%，主要原因：一是市重点工程项目--全市地下管线补测补绘项目工程款本年度支出</w:t>
      </w:r>
      <w:r>
        <w:rPr>
          <w:rFonts w:hint="eastAsia" w:ascii="仿宋_GB2312" w:hAnsi="仿宋"/>
          <w:szCs w:val="32"/>
          <w:lang w:eastAsia="zh-CN"/>
        </w:rPr>
        <w:t>多</w:t>
      </w:r>
      <w:r>
        <w:rPr>
          <w:rFonts w:hint="eastAsia" w:ascii="仿宋_GB2312" w:hAnsi="仿宋"/>
          <w:szCs w:val="32"/>
        </w:rPr>
        <w:t>于去年；二是</w:t>
      </w:r>
      <w:r>
        <w:rPr>
          <w:rFonts w:hint="eastAsia" w:ascii="仿宋_GB2312" w:hAnsi="仿宋"/>
          <w:szCs w:val="32"/>
          <w:lang w:eastAsia="zh-CN"/>
        </w:rPr>
        <w:t>本年度新增</w:t>
      </w:r>
      <w:r>
        <w:rPr>
          <w:rFonts w:hint="eastAsia" w:ascii="仿宋_GB2312" w:hAnsi="仿宋" w:cs="Times New Roman"/>
          <w:szCs w:val="32"/>
          <w:lang w:eastAsia="zh-CN"/>
        </w:rPr>
        <w:t>市城建档案馆调配库房密集架购置及档案搬迁项目</w:t>
      </w:r>
      <w:r>
        <w:rPr>
          <w:rFonts w:hint="eastAsia" w:ascii="仿宋_GB2312" w:hAnsi="仿宋"/>
          <w:szCs w:val="32"/>
          <w:lang w:eastAsia="zh-CN"/>
        </w:rPr>
        <w:t>支出；三是</w:t>
      </w:r>
      <w:r>
        <w:rPr>
          <w:rFonts w:hint="eastAsia" w:ascii="仿宋_GB2312" w:hAnsi="仿宋" w:cs="Times New Roman"/>
          <w:szCs w:val="32"/>
          <w:lang w:eastAsia="zh-CN"/>
        </w:rPr>
        <w:t>淮北市城市建设档案馆智慧档案馆平台一体化(一期)项目工程款支出。</w:t>
      </w:r>
    </w:p>
    <w:p w14:paraId="46933D1B">
      <w:pPr>
        <w:ind w:firstLine="640" w:firstLineChars="200"/>
        <w:rPr>
          <w:rFonts w:hint="eastAsia" w:ascii="黑体" w:hAnsi="仿宋" w:eastAsia="黑体"/>
          <w:szCs w:val="32"/>
        </w:rPr>
      </w:pPr>
      <w:r>
        <w:rPr>
          <w:rFonts w:hint="eastAsia" w:ascii="黑体" w:hAnsi="仿宋" w:eastAsia="黑体"/>
          <w:szCs w:val="32"/>
        </w:rPr>
        <w:t>二、收入决算情况说明</w:t>
      </w:r>
    </w:p>
    <w:p w14:paraId="47C500AE">
      <w:pPr>
        <w:ind w:firstLine="640"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年度收入合计</w:t>
      </w:r>
      <w:r>
        <w:rPr>
          <w:rFonts w:hint="eastAsia" w:ascii="仿宋_GB2312" w:hAnsi="仿宋"/>
          <w:szCs w:val="32"/>
          <w:lang w:val="en-US" w:eastAsia="zh-CN"/>
        </w:rPr>
        <w:t>857.56</w:t>
      </w:r>
      <w:r>
        <w:rPr>
          <w:rFonts w:hint="eastAsia" w:ascii="仿宋_GB2312" w:hAnsi="仿宋"/>
          <w:szCs w:val="32"/>
        </w:rPr>
        <w:t>万元，其中：财政拨款收入</w:t>
      </w:r>
      <w:r>
        <w:rPr>
          <w:rFonts w:hint="eastAsia" w:ascii="仿宋_GB2312" w:hAnsi="仿宋"/>
          <w:szCs w:val="32"/>
          <w:lang w:val="en-US" w:eastAsia="zh-CN"/>
        </w:rPr>
        <w:t>610.21</w:t>
      </w:r>
      <w:r>
        <w:rPr>
          <w:rFonts w:hint="eastAsia" w:ascii="仿宋_GB2312" w:hAnsi="仿宋"/>
          <w:szCs w:val="32"/>
        </w:rPr>
        <w:t>万元，占</w:t>
      </w:r>
      <w:r>
        <w:rPr>
          <w:rFonts w:hint="eastAsia" w:ascii="仿宋_GB2312" w:hAnsi="仿宋"/>
          <w:szCs w:val="32"/>
          <w:lang w:val="en-US" w:eastAsia="zh-CN"/>
        </w:rPr>
        <w:t>71.16</w:t>
      </w:r>
      <w:r>
        <w:rPr>
          <w:rFonts w:hint="eastAsia" w:ascii="仿宋_GB2312" w:hAnsi="仿宋"/>
          <w:szCs w:val="32"/>
        </w:rPr>
        <w:t>%；事业收入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%；经营收入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%；其他收入</w:t>
      </w:r>
      <w:r>
        <w:rPr>
          <w:rFonts w:hint="eastAsia" w:ascii="仿宋_GB2312" w:hAnsi="仿宋"/>
          <w:szCs w:val="32"/>
          <w:lang w:val="en-US" w:eastAsia="zh-CN"/>
        </w:rPr>
        <w:t>247.35</w:t>
      </w:r>
      <w:r>
        <w:rPr>
          <w:rFonts w:hint="eastAsia" w:ascii="仿宋_GB2312" w:hAnsi="仿宋"/>
          <w:szCs w:val="32"/>
        </w:rPr>
        <w:t>万元，占</w:t>
      </w:r>
      <w:r>
        <w:rPr>
          <w:rFonts w:hint="eastAsia" w:ascii="仿宋_GB2312" w:hAnsi="仿宋"/>
          <w:szCs w:val="32"/>
          <w:lang w:val="en-US" w:eastAsia="zh-CN"/>
        </w:rPr>
        <w:t>28.84</w:t>
      </w:r>
      <w:r>
        <w:rPr>
          <w:rFonts w:hint="eastAsia" w:ascii="仿宋_GB2312" w:hAnsi="仿宋"/>
          <w:szCs w:val="32"/>
        </w:rPr>
        <w:t>%。</w:t>
      </w:r>
    </w:p>
    <w:p w14:paraId="172D90EB">
      <w:pPr>
        <w:ind w:firstLine="640" w:firstLineChars="200"/>
        <w:rPr>
          <w:rFonts w:hint="eastAsia" w:ascii="黑体" w:hAnsi="仿宋" w:eastAsia="黑体"/>
          <w:szCs w:val="32"/>
        </w:rPr>
      </w:pPr>
      <w:r>
        <w:rPr>
          <w:rFonts w:hint="eastAsia" w:ascii="黑体" w:hAnsi="仿宋" w:eastAsia="黑体"/>
          <w:szCs w:val="32"/>
        </w:rPr>
        <w:t>三、支出决算情况说明</w:t>
      </w:r>
    </w:p>
    <w:p w14:paraId="6AC6C36A">
      <w:pPr>
        <w:ind w:firstLine="640"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年度支出合计</w:t>
      </w:r>
      <w:r>
        <w:rPr>
          <w:rFonts w:hint="eastAsia" w:ascii="仿宋_GB2312" w:hAnsi="仿宋"/>
          <w:szCs w:val="32"/>
          <w:lang w:val="en-US" w:eastAsia="zh-CN"/>
        </w:rPr>
        <w:t>871.55</w:t>
      </w:r>
      <w:r>
        <w:rPr>
          <w:rFonts w:hint="eastAsia" w:ascii="仿宋_GB2312" w:hAnsi="仿宋"/>
          <w:szCs w:val="32"/>
        </w:rPr>
        <w:t>万元，其中：基本支出</w:t>
      </w:r>
      <w:r>
        <w:rPr>
          <w:rFonts w:hint="eastAsia" w:ascii="仿宋_GB2312" w:hAnsi="仿宋"/>
          <w:szCs w:val="32"/>
          <w:lang w:val="en-US" w:eastAsia="zh-CN"/>
        </w:rPr>
        <w:t>161.51</w:t>
      </w:r>
      <w:r>
        <w:rPr>
          <w:rFonts w:hint="eastAsia" w:ascii="仿宋_GB2312" w:hAnsi="仿宋"/>
          <w:szCs w:val="32"/>
        </w:rPr>
        <w:t>万元，占</w:t>
      </w:r>
      <w:r>
        <w:rPr>
          <w:rFonts w:hint="eastAsia" w:ascii="仿宋_GB2312" w:hAnsi="仿宋"/>
          <w:szCs w:val="32"/>
          <w:lang w:val="en-US" w:eastAsia="zh-CN"/>
        </w:rPr>
        <w:t>18.53</w:t>
      </w:r>
      <w:r>
        <w:rPr>
          <w:rFonts w:hint="eastAsia" w:ascii="仿宋_GB2312" w:hAnsi="仿宋"/>
          <w:szCs w:val="32"/>
        </w:rPr>
        <w:t>%；项目支出</w:t>
      </w:r>
      <w:r>
        <w:rPr>
          <w:rFonts w:hint="eastAsia" w:ascii="仿宋_GB2312" w:hAnsi="仿宋"/>
          <w:szCs w:val="32"/>
          <w:lang w:val="en-US" w:eastAsia="zh-CN"/>
        </w:rPr>
        <w:t>710.04</w:t>
      </w:r>
      <w:r>
        <w:rPr>
          <w:rFonts w:hint="eastAsia" w:ascii="仿宋_GB2312" w:hAnsi="仿宋"/>
          <w:szCs w:val="32"/>
        </w:rPr>
        <w:t>万元，占</w:t>
      </w:r>
      <w:r>
        <w:rPr>
          <w:rFonts w:hint="eastAsia" w:ascii="仿宋_GB2312" w:hAnsi="仿宋"/>
          <w:szCs w:val="32"/>
          <w:lang w:val="en-US" w:eastAsia="zh-CN"/>
        </w:rPr>
        <w:t>81.47</w:t>
      </w:r>
      <w:r>
        <w:rPr>
          <w:rFonts w:hint="eastAsia" w:ascii="仿宋_GB2312" w:hAnsi="仿宋"/>
          <w:szCs w:val="32"/>
        </w:rPr>
        <w:t>%；经营支出</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w:t>
      </w:r>
    </w:p>
    <w:p w14:paraId="3F2BDE65">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14:paraId="686624BA">
      <w:pPr>
        <w:ind w:firstLine="640" w:firstLineChars="200"/>
        <w:rPr>
          <w:rFonts w:hint="eastAsia" w:ascii="仿宋_GB2312" w:hAnsi="仿宋"/>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szCs w:val="32"/>
        </w:rPr>
        <w:t>总计</w:t>
      </w:r>
      <w:r>
        <w:rPr>
          <w:rFonts w:hint="eastAsia" w:ascii="仿宋_GB2312" w:hAnsi="仿宋"/>
          <w:szCs w:val="32"/>
          <w:lang w:val="en-US" w:eastAsia="zh-CN"/>
        </w:rPr>
        <w:t>610.21</w:t>
      </w:r>
      <w:r>
        <w:rPr>
          <w:rFonts w:hint="eastAsia" w:ascii="仿宋_GB2312" w:hAnsi="仿宋"/>
          <w:szCs w:val="32"/>
        </w:rPr>
        <w:t>万元（含年初财政拨款结转</w:t>
      </w:r>
      <w:r>
        <w:rPr>
          <w:rFonts w:hint="eastAsia" w:ascii="仿宋_GB2312" w:hAnsi="仿宋"/>
          <w:szCs w:val="32"/>
          <w:lang w:eastAsia="zh-CN"/>
        </w:rPr>
        <w:t>和</w:t>
      </w:r>
      <w:r>
        <w:rPr>
          <w:rFonts w:hint="eastAsia" w:ascii="仿宋_GB2312" w:hAnsi="仿宋"/>
          <w:szCs w:val="32"/>
        </w:rPr>
        <w:t>结余），支出总计</w:t>
      </w:r>
      <w:r>
        <w:rPr>
          <w:rFonts w:hint="eastAsia" w:ascii="仿宋_GB2312" w:hAnsi="仿宋"/>
          <w:szCs w:val="32"/>
          <w:lang w:val="en-US" w:eastAsia="zh-CN"/>
        </w:rPr>
        <w:t>610.21</w:t>
      </w:r>
      <w:r>
        <w:rPr>
          <w:rFonts w:hint="eastAsia" w:ascii="仿宋_GB2312" w:hAnsi="仿宋"/>
          <w:szCs w:val="32"/>
        </w:rPr>
        <w:t>万元（含年末财政拨款结转和结余）。与</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年相比，财政拨款收、支总计各增加</w:t>
      </w:r>
      <w:r>
        <w:rPr>
          <w:rFonts w:hint="eastAsia" w:ascii="仿宋_GB2312" w:hAnsi="仿宋"/>
          <w:szCs w:val="32"/>
          <w:lang w:val="en-US" w:eastAsia="zh-CN"/>
        </w:rPr>
        <w:t>196.61</w:t>
      </w:r>
      <w:r>
        <w:rPr>
          <w:rFonts w:hint="eastAsia" w:ascii="仿宋_GB2312" w:hAnsi="仿宋"/>
          <w:szCs w:val="32"/>
        </w:rPr>
        <w:t>万元，增长</w:t>
      </w:r>
      <w:r>
        <w:rPr>
          <w:rFonts w:hint="eastAsia" w:ascii="仿宋_GB2312" w:hAnsi="仿宋"/>
          <w:szCs w:val="32"/>
          <w:lang w:val="en-US" w:eastAsia="zh-CN"/>
        </w:rPr>
        <w:t>47.55</w:t>
      </w:r>
      <w:r>
        <w:rPr>
          <w:rFonts w:hint="eastAsia" w:ascii="仿宋_GB2312" w:hAnsi="仿宋"/>
          <w:szCs w:val="32"/>
        </w:rPr>
        <w:t>%，主要原因：一是市重点工程项目--全市地下管线补测补绘项目工程款本年度支出</w:t>
      </w:r>
      <w:r>
        <w:rPr>
          <w:rFonts w:hint="eastAsia" w:ascii="仿宋_GB2312" w:hAnsi="仿宋"/>
          <w:szCs w:val="32"/>
          <w:lang w:eastAsia="zh-CN"/>
        </w:rPr>
        <w:t>多</w:t>
      </w:r>
      <w:r>
        <w:rPr>
          <w:rFonts w:hint="eastAsia" w:ascii="仿宋_GB2312" w:hAnsi="仿宋"/>
          <w:szCs w:val="32"/>
        </w:rPr>
        <w:t>于去年；二是</w:t>
      </w:r>
      <w:r>
        <w:rPr>
          <w:rFonts w:hint="eastAsia" w:ascii="仿宋_GB2312" w:hAnsi="仿宋"/>
          <w:szCs w:val="32"/>
          <w:lang w:eastAsia="zh-CN"/>
        </w:rPr>
        <w:t>本年度新增</w:t>
      </w:r>
      <w:r>
        <w:rPr>
          <w:rFonts w:hint="eastAsia" w:ascii="仿宋_GB2312" w:hAnsi="仿宋" w:cs="Times New Roman"/>
          <w:szCs w:val="32"/>
          <w:lang w:eastAsia="zh-CN"/>
        </w:rPr>
        <w:t>市城建档案馆调配库房密集架购置及档案搬迁项目</w:t>
      </w:r>
      <w:r>
        <w:rPr>
          <w:rFonts w:hint="eastAsia" w:ascii="仿宋_GB2312" w:hAnsi="仿宋"/>
          <w:szCs w:val="32"/>
          <w:lang w:eastAsia="zh-CN"/>
        </w:rPr>
        <w:t>支出；三是</w:t>
      </w:r>
      <w:r>
        <w:rPr>
          <w:rFonts w:hint="eastAsia" w:ascii="仿宋_GB2312" w:hAnsi="仿宋" w:cs="Times New Roman"/>
          <w:szCs w:val="32"/>
          <w:lang w:eastAsia="zh-CN"/>
        </w:rPr>
        <w:t>淮北市城市建设档案馆智慧档案馆平台一体化(一期)项目工程款支出</w:t>
      </w:r>
      <w:r>
        <w:rPr>
          <w:rFonts w:hint="eastAsia" w:ascii="仿宋_GB2312" w:hAnsi="仿宋"/>
          <w:color w:val="000000"/>
          <w:szCs w:val="32"/>
        </w:rPr>
        <w:t>。</w:t>
      </w:r>
    </w:p>
    <w:p w14:paraId="68A3A34B">
      <w:pPr>
        <w:ind w:firstLine="640" w:firstLineChars="200"/>
        <w:rPr>
          <w:rFonts w:hint="eastAsia" w:ascii="黑体" w:hAnsi="仿宋" w:eastAsia="黑体"/>
          <w:szCs w:val="32"/>
        </w:rPr>
      </w:pPr>
      <w:r>
        <w:rPr>
          <w:rFonts w:hint="eastAsia" w:ascii="黑体" w:hAnsi="仿宋" w:eastAsia="黑体"/>
          <w:szCs w:val="32"/>
        </w:rPr>
        <w:t>五、一般公共预算财政拨款支出决算情况说明</w:t>
      </w:r>
    </w:p>
    <w:p w14:paraId="4AAAA451">
      <w:pPr>
        <w:ind w:firstLine="643" w:firstLineChars="200"/>
        <w:rPr>
          <w:rFonts w:hint="eastAsia" w:ascii="仿宋_GB2312" w:hAnsi="仿宋"/>
          <w:b/>
          <w:bCs/>
          <w:szCs w:val="32"/>
        </w:rPr>
      </w:pPr>
      <w:r>
        <w:rPr>
          <w:rFonts w:hint="eastAsia" w:ascii="仿宋_GB2312" w:hAnsi="仿宋"/>
          <w:b/>
          <w:bCs/>
          <w:szCs w:val="32"/>
        </w:rPr>
        <w:t>（一）一般公共预算财政拨款支出决算总体情况。</w:t>
      </w:r>
    </w:p>
    <w:p w14:paraId="233A5256">
      <w:pPr>
        <w:ind w:firstLine="640" w:firstLineChars="200"/>
        <w:rPr>
          <w:rFonts w:hint="eastAsia" w:ascii="仿宋_GB2312" w:hAnsi="仿宋" w:eastAsia="仿宋_GB2312"/>
          <w:color w:val="auto"/>
          <w:szCs w:val="32"/>
          <w:lang w:eastAsia="zh-CN"/>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277.29</w:t>
      </w:r>
      <w:r>
        <w:rPr>
          <w:rFonts w:hint="eastAsia" w:ascii="仿宋_GB2312" w:hAnsi="仿宋"/>
          <w:color w:val="auto"/>
          <w:szCs w:val="32"/>
        </w:rPr>
        <w:t>万元，占本年支出的</w:t>
      </w:r>
      <w:r>
        <w:rPr>
          <w:rFonts w:hint="eastAsia" w:ascii="仿宋_GB2312" w:hAnsi="仿宋"/>
          <w:color w:val="auto"/>
          <w:szCs w:val="32"/>
          <w:lang w:val="en-US" w:eastAsia="zh-CN"/>
        </w:rPr>
        <w:t>31.82</w:t>
      </w:r>
      <w:r>
        <w:rPr>
          <w:rFonts w:hint="eastAsia" w:ascii="仿宋_GB2312" w:hAnsi="仿宋"/>
          <w:color w:val="auto"/>
          <w:szCs w:val="32"/>
        </w:rPr>
        <w:t>%。与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年相比，一般公共预算财政拨款支出增加</w:t>
      </w:r>
      <w:r>
        <w:rPr>
          <w:rFonts w:hint="eastAsia" w:ascii="仿宋_GB2312" w:hAnsi="仿宋"/>
          <w:color w:val="auto"/>
          <w:szCs w:val="32"/>
          <w:lang w:val="en-US" w:eastAsia="zh-CN"/>
        </w:rPr>
        <w:t>8.61</w:t>
      </w:r>
      <w:r>
        <w:rPr>
          <w:rFonts w:hint="eastAsia" w:ascii="仿宋_GB2312" w:hAnsi="仿宋"/>
          <w:color w:val="auto"/>
          <w:szCs w:val="32"/>
        </w:rPr>
        <w:t>万元，增长</w:t>
      </w:r>
      <w:r>
        <w:rPr>
          <w:rFonts w:hint="eastAsia" w:ascii="仿宋_GB2312" w:hAnsi="仿宋"/>
          <w:color w:val="auto"/>
          <w:szCs w:val="32"/>
          <w:lang w:val="en-US" w:eastAsia="zh-CN"/>
        </w:rPr>
        <w:t>3.20</w:t>
      </w:r>
      <w:r>
        <w:rPr>
          <w:rFonts w:hint="eastAsia" w:ascii="仿宋_GB2312" w:hAnsi="仿宋"/>
          <w:color w:val="auto"/>
          <w:szCs w:val="32"/>
        </w:rPr>
        <w:t>%。主要原因是</w:t>
      </w:r>
      <w:r>
        <w:rPr>
          <w:rFonts w:hint="eastAsia" w:ascii="仿宋_GB2312" w:hAnsi="仿宋"/>
          <w:color w:val="auto"/>
          <w:szCs w:val="32"/>
          <w:lang w:eastAsia="zh-CN"/>
        </w:rPr>
        <w:t>上年度年末退休两人，本年度年中新增两人。</w:t>
      </w:r>
    </w:p>
    <w:p w14:paraId="3311A06F">
      <w:pPr>
        <w:ind w:firstLine="643" w:firstLineChars="200"/>
        <w:rPr>
          <w:rFonts w:hint="eastAsia" w:ascii="仿宋_GB2312" w:hAnsi="仿宋"/>
          <w:b/>
          <w:szCs w:val="32"/>
        </w:rPr>
      </w:pPr>
      <w:r>
        <w:rPr>
          <w:rFonts w:hint="eastAsia" w:ascii="仿宋_GB2312" w:hAnsi="仿宋"/>
          <w:b/>
          <w:szCs w:val="32"/>
        </w:rPr>
        <w:t>（二）一般公共预算财政拨款支出决算结构情况。</w:t>
      </w:r>
    </w:p>
    <w:p w14:paraId="1D8DCBF5">
      <w:pPr>
        <w:ind w:firstLine="640" w:firstLineChars="200"/>
        <w:rPr>
          <w:rFonts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年度一般公共预算财政拨款支出</w:t>
      </w:r>
      <w:r>
        <w:rPr>
          <w:rFonts w:hint="eastAsia" w:ascii="仿宋_GB2312" w:hAnsi="仿宋"/>
          <w:szCs w:val="32"/>
          <w:lang w:val="en-US" w:eastAsia="zh-CN"/>
        </w:rPr>
        <w:t>277.29</w:t>
      </w:r>
      <w:r>
        <w:rPr>
          <w:rFonts w:hint="eastAsia" w:ascii="仿宋_GB2312" w:hAnsi="仿宋"/>
          <w:szCs w:val="32"/>
        </w:rPr>
        <w:t>万元，主要用于以下方面：</w:t>
      </w:r>
      <w:r>
        <w:rPr>
          <w:rFonts w:hint="eastAsia" w:ascii="仿宋_GB2312" w:hAnsi="仿宋"/>
          <w:b/>
          <w:szCs w:val="32"/>
        </w:rPr>
        <w:t>一般公共服务（类）</w:t>
      </w:r>
      <w:r>
        <w:rPr>
          <w:rFonts w:hint="eastAsia" w:ascii="仿宋_GB2312" w:hAnsi="仿宋"/>
          <w:szCs w:val="32"/>
        </w:rPr>
        <w:t>支出0.60万元，占</w:t>
      </w:r>
      <w:r>
        <w:rPr>
          <w:rFonts w:hint="eastAsia" w:ascii="仿宋_GB2312" w:hAnsi="仿宋"/>
          <w:szCs w:val="32"/>
          <w:lang w:val="en-US" w:eastAsia="zh-CN"/>
        </w:rPr>
        <w:t>0.21</w:t>
      </w:r>
      <w:r>
        <w:rPr>
          <w:rFonts w:hint="eastAsia" w:ascii="仿宋_GB2312" w:hAnsi="仿宋"/>
          <w:szCs w:val="32"/>
        </w:rPr>
        <w:t>%;</w:t>
      </w:r>
      <w:r>
        <w:rPr>
          <w:rFonts w:hint="eastAsia" w:ascii="仿宋_GB2312" w:hAnsi="仿宋"/>
          <w:b/>
          <w:szCs w:val="32"/>
        </w:rPr>
        <w:t>社会保障和就业（类）</w:t>
      </w:r>
      <w:r>
        <w:rPr>
          <w:rFonts w:hint="eastAsia" w:ascii="仿宋_GB2312" w:hAnsi="仿宋"/>
          <w:szCs w:val="32"/>
        </w:rPr>
        <w:t>支出</w:t>
      </w:r>
      <w:r>
        <w:rPr>
          <w:rFonts w:hint="eastAsia" w:ascii="仿宋_GB2312" w:hAnsi="仿宋"/>
          <w:szCs w:val="32"/>
          <w:lang w:val="en-US" w:eastAsia="zh-CN"/>
        </w:rPr>
        <w:t>40.17</w:t>
      </w:r>
      <w:r>
        <w:rPr>
          <w:rFonts w:hint="eastAsia" w:ascii="仿宋_GB2312" w:hAnsi="仿宋"/>
          <w:szCs w:val="32"/>
        </w:rPr>
        <w:t>万元，占</w:t>
      </w:r>
      <w:r>
        <w:rPr>
          <w:rFonts w:hint="eastAsia" w:ascii="仿宋_GB2312" w:hAnsi="仿宋"/>
          <w:szCs w:val="32"/>
          <w:lang w:val="en-US" w:eastAsia="zh-CN"/>
        </w:rPr>
        <w:t>14.49</w:t>
      </w:r>
      <w:r>
        <w:rPr>
          <w:rFonts w:hint="eastAsia" w:ascii="仿宋_GB2312" w:hAnsi="仿宋"/>
          <w:szCs w:val="32"/>
        </w:rPr>
        <w:t>%；</w:t>
      </w:r>
      <w:r>
        <w:rPr>
          <w:rFonts w:hint="eastAsia" w:ascii="仿宋_GB2312" w:hAnsi="仿宋"/>
          <w:b/>
          <w:szCs w:val="32"/>
        </w:rPr>
        <w:t>卫生健康（类）</w:t>
      </w:r>
      <w:r>
        <w:rPr>
          <w:rFonts w:hint="eastAsia" w:ascii="仿宋_GB2312" w:hAnsi="仿宋"/>
          <w:szCs w:val="32"/>
        </w:rPr>
        <w:t>支出</w:t>
      </w:r>
      <w:r>
        <w:rPr>
          <w:rFonts w:hint="eastAsia" w:ascii="仿宋_GB2312" w:hAnsi="仿宋"/>
          <w:szCs w:val="32"/>
          <w:lang w:val="en-US" w:eastAsia="zh-CN"/>
        </w:rPr>
        <w:t>6.78</w:t>
      </w:r>
      <w:r>
        <w:rPr>
          <w:rFonts w:hint="eastAsia" w:ascii="仿宋_GB2312" w:hAnsi="仿宋"/>
          <w:szCs w:val="32"/>
        </w:rPr>
        <w:t>万元，占2.</w:t>
      </w:r>
      <w:r>
        <w:rPr>
          <w:rFonts w:hint="eastAsia" w:ascii="仿宋_GB2312" w:hAnsi="仿宋"/>
          <w:szCs w:val="32"/>
          <w:lang w:val="en-US" w:eastAsia="zh-CN"/>
        </w:rPr>
        <w:t>45</w:t>
      </w:r>
      <w:r>
        <w:rPr>
          <w:rFonts w:hint="eastAsia" w:ascii="仿宋_GB2312" w:hAnsi="仿宋"/>
          <w:szCs w:val="32"/>
        </w:rPr>
        <w:t>%；</w:t>
      </w:r>
      <w:r>
        <w:rPr>
          <w:rFonts w:hint="eastAsia" w:ascii="仿宋_GB2312" w:hAnsi="仿宋"/>
          <w:b/>
          <w:szCs w:val="32"/>
        </w:rPr>
        <w:t>城乡社区（类）</w:t>
      </w:r>
      <w:r>
        <w:rPr>
          <w:rFonts w:hint="eastAsia" w:ascii="仿宋_GB2312" w:hAnsi="仿宋"/>
          <w:szCs w:val="32"/>
        </w:rPr>
        <w:t>支出214.49万元，占</w:t>
      </w:r>
      <w:r>
        <w:rPr>
          <w:rFonts w:hint="eastAsia" w:ascii="仿宋_GB2312" w:hAnsi="仿宋"/>
          <w:szCs w:val="32"/>
          <w:lang w:val="en-US" w:eastAsia="zh-CN"/>
        </w:rPr>
        <w:t>77.35</w:t>
      </w:r>
      <w:r>
        <w:rPr>
          <w:rFonts w:hint="eastAsia" w:ascii="仿宋_GB2312" w:hAnsi="仿宋"/>
          <w:szCs w:val="32"/>
        </w:rPr>
        <w:t>%；</w:t>
      </w:r>
      <w:r>
        <w:rPr>
          <w:rFonts w:hint="eastAsia" w:ascii="仿宋_GB2312" w:hAnsi="仿宋"/>
          <w:b/>
          <w:szCs w:val="32"/>
        </w:rPr>
        <w:t>住房保障（类）</w:t>
      </w:r>
      <w:r>
        <w:rPr>
          <w:rFonts w:hint="eastAsia" w:ascii="仿宋_GB2312" w:hAnsi="仿宋"/>
          <w:szCs w:val="32"/>
        </w:rPr>
        <w:t>支出15.25万元，占</w:t>
      </w:r>
      <w:r>
        <w:rPr>
          <w:rFonts w:hint="eastAsia" w:ascii="仿宋_GB2312" w:hAnsi="仿宋"/>
          <w:szCs w:val="32"/>
          <w:lang w:val="en-US" w:eastAsia="zh-CN"/>
        </w:rPr>
        <w:t>5.50</w:t>
      </w:r>
      <w:r>
        <w:rPr>
          <w:rFonts w:hint="eastAsia" w:ascii="仿宋_GB2312" w:hAnsi="仿宋"/>
          <w:szCs w:val="32"/>
        </w:rPr>
        <w:t>%。</w:t>
      </w:r>
    </w:p>
    <w:p w14:paraId="3FD49313">
      <w:pPr>
        <w:ind w:firstLine="643" w:firstLineChars="200"/>
        <w:rPr>
          <w:rFonts w:hint="eastAsia" w:ascii="仿宋_GB2312" w:hAnsi="仿宋"/>
          <w:b/>
          <w:bCs/>
          <w:szCs w:val="32"/>
        </w:rPr>
      </w:pPr>
      <w:r>
        <w:rPr>
          <w:rFonts w:hint="eastAsia" w:ascii="仿宋_GB2312" w:hAnsi="仿宋"/>
          <w:b/>
          <w:bCs/>
          <w:szCs w:val="32"/>
        </w:rPr>
        <w:t>（三）一般公共预算财政拨款支出决算具体情况。</w:t>
      </w:r>
    </w:p>
    <w:p w14:paraId="485B5739">
      <w:pPr>
        <w:ind w:firstLine="640"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年度一般公共预算财政拨款支出年初预算为</w:t>
      </w:r>
      <w:r>
        <w:rPr>
          <w:rFonts w:hint="eastAsia" w:ascii="仿宋_GB2312" w:hAnsi="仿宋"/>
          <w:szCs w:val="32"/>
          <w:lang w:val="en-US" w:eastAsia="zh-CN"/>
        </w:rPr>
        <w:t>274.79</w:t>
      </w:r>
      <w:r>
        <w:rPr>
          <w:rFonts w:hint="eastAsia" w:ascii="仿宋_GB2312" w:hAnsi="仿宋"/>
          <w:szCs w:val="32"/>
        </w:rPr>
        <w:t>万元，支出决算为</w:t>
      </w:r>
      <w:r>
        <w:rPr>
          <w:rFonts w:hint="eastAsia" w:ascii="仿宋_GB2312" w:hAnsi="仿宋"/>
          <w:szCs w:val="32"/>
          <w:lang w:val="en-US" w:eastAsia="zh-CN"/>
        </w:rPr>
        <w:t>277.29</w:t>
      </w:r>
      <w:r>
        <w:rPr>
          <w:rFonts w:hint="eastAsia" w:ascii="仿宋_GB2312" w:hAnsi="仿宋"/>
          <w:szCs w:val="32"/>
        </w:rPr>
        <w:t>万元，完成年初预算的</w:t>
      </w:r>
      <w:r>
        <w:rPr>
          <w:rFonts w:hint="eastAsia" w:ascii="仿宋_GB2312" w:hAnsi="仿宋"/>
          <w:szCs w:val="32"/>
          <w:lang w:val="en-US" w:eastAsia="zh-CN"/>
        </w:rPr>
        <w:t>100.91</w:t>
      </w:r>
      <w:r>
        <w:rPr>
          <w:rFonts w:hint="eastAsia" w:ascii="仿宋_GB2312" w:hAnsi="仿宋"/>
          <w:szCs w:val="32"/>
        </w:rPr>
        <w:t>%。决算数</w:t>
      </w:r>
      <w:r>
        <w:rPr>
          <w:rFonts w:hint="eastAsia" w:ascii="仿宋_GB2312" w:hAnsi="仿宋"/>
          <w:szCs w:val="32"/>
          <w:lang w:eastAsia="zh-CN"/>
        </w:rPr>
        <w:t>大于</w:t>
      </w:r>
      <w:r>
        <w:rPr>
          <w:rFonts w:hint="eastAsia" w:ascii="仿宋_GB2312" w:hAnsi="仿宋"/>
          <w:szCs w:val="32"/>
        </w:rPr>
        <w:t>预算数的主要原因:</w:t>
      </w:r>
      <w:r>
        <w:rPr>
          <w:rFonts w:hint="eastAsia" w:ascii="仿宋_GB2312" w:hAnsi="仿宋"/>
          <w:szCs w:val="32"/>
          <w:lang w:eastAsia="zh-CN"/>
        </w:rPr>
        <w:t>补发</w:t>
      </w:r>
      <w:r>
        <w:rPr>
          <w:rFonts w:hint="eastAsia" w:ascii="仿宋" w:hAnsi="仿宋" w:eastAsia="仿宋"/>
          <w:color w:val="auto"/>
          <w:szCs w:val="32"/>
          <w:lang w:val="en-US" w:eastAsia="zh-CN"/>
        </w:rPr>
        <w:t>提租补贴、职业年金做实等追</w:t>
      </w:r>
      <w:bookmarkStart w:id="0" w:name="_GoBack"/>
      <w:bookmarkEnd w:id="0"/>
      <w:r>
        <w:rPr>
          <w:rFonts w:hint="eastAsia" w:ascii="仿宋" w:hAnsi="仿宋" w:eastAsia="仿宋"/>
          <w:color w:val="auto"/>
          <w:szCs w:val="32"/>
          <w:lang w:val="en-US" w:eastAsia="zh-CN"/>
        </w:rPr>
        <w:t>加。</w:t>
      </w:r>
      <w:r>
        <w:rPr>
          <w:rFonts w:hint="eastAsia" w:ascii="仿宋_GB2312" w:hAnsi="仿宋"/>
          <w:szCs w:val="32"/>
        </w:rPr>
        <w:t>其中:基本支出</w:t>
      </w:r>
      <w:r>
        <w:rPr>
          <w:rFonts w:hint="eastAsia" w:ascii="仿宋_GB2312" w:hAnsi="仿宋"/>
          <w:szCs w:val="32"/>
          <w:lang w:val="en-US" w:eastAsia="zh-CN"/>
        </w:rPr>
        <w:t>161.51</w:t>
      </w:r>
      <w:r>
        <w:rPr>
          <w:rFonts w:hint="eastAsia" w:ascii="仿宋_GB2312" w:hAnsi="仿宋"/>
          <w:szCs w:val="32"/>
        </w:rPr>
        <w:t>万元，占</w:t>
      </w:r>
      <w:r>
        <w:rPr>
          <w:rFonts w:hint="eastAsia" w:ascii="仿宋_GB2312" w:hAnsi="仿宋"/>
          <w:szCs w:val="32"/>
          <w:lang w:val="en-US" w:eastAsia="zh-CN"/>
        </w:rPr>
        <w:t>58.25</w:t>
      </w:r>
      <w:r>
        <w:rPr>
          <w:rFonts w:hint="eastAsia" w:ascii="仿宋_GB2312" w:hAnsi="仿宋"/>
          <w:szCs w:val="32"/>
        </w:rPr>
        <w:t>%；项目支出</w:t>
      </w:r>
      <w:r>
        <w:rPr>
          <w:rFonts w:hint="eastAsia" w:ascii="仿宋_GB2312" w:hAnsi="仿宋"/>
          <w:szCs w:val="32"/>
          <w:lang w:val="en-US" w:eastAsia="zh-CN"/>
        </w:rPr>
        <w:t>115.79</w:t>
      </w:r>
      <w:r>
        <w:rPr>
          <w:rFonts w:hint="eastAsia" w:ascii="仿宋_GB2312" w:hAnsi="仿宋"/>
          <w:szCs w:val="32"/>
        </w:rPr>
        <w:t>万元，占</w:t>
      </w:r>
      <w:r>
        <w:rPr>
          <w:rFonts w:hint="eastAsia" w:ascii="仿宋_GB2312" w:hAnsi="仿宋"/>
          <w:szCs w:val="32"/>
          <w:lang w:val="en-US" w:eastAsia="zh-CN"/>
        </w:rPr>
        <w:t>41.76</w:t>
      </w:r>
      <w:r>
        <w:rPr>
          <w:rFonts w:hint="eastAsia" w:ascii="仿宋_GB2312" w:hAnsi="仿宋"/>
          <w:szCs w:val="32"/>
        </w:rPr>
        <w:t>%。具体情况如下：</w:t>
      </w:r>
    </w:p>
    <w:p w14:paraId="69EE1265">
      <w:pPr>
        <w:numPr>
          <w:ilvl w:val="0"/>
          <w:numId w:val="0"/>
        </w:numPr>
        <w:ind w:firstLine="640" w:firstLineChars="200"/>
        <w:rPr>
          <w:rFonts w:hint="eastAsia" w:ascii="仿宋_GB2312" w:hAnsi="仿宋" w:eastAsia="仿宋_GB2312"/>
          <w:szCs w:val="32"/>
          <w:lang w:val="en-US" w:eastAsia="zh-CN"/>
        </w:rPr>
      </w:pPr>
      <w:r>
        <w:rPr>
          <w:rFonts w:hint="eastAsia" w:ascii="仿宋_GB2312" w:hAnsi="仿宋"/>
          <w:szCs w:val="32"/>
        </w:rPr>
        <w:t>1.</w:t>
      </w:r>
      <w:r>
        <w:rPr>
          <w:rFonts w:hint="eastAsia" w:ascii="仿宋_GB2312" w:hAnsi="仿宋"/>
          <w:b/>
          <w:szCs w:val="32"/>
        </w:rPr>
        <w:t>一般公共服务（类）财政事务（款）其他财政事务支出（项）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0.6</w:t>
      </w:r>
      <w:r>
        <w:rPr>
          <w:rFonts w:hint="eastAsia" w:ascii="仿宋_GB2312" w:hAnsi="仿宋"/>
          <w:szCs w:val="32"/>
        </w:rPr>
        <w:t>万元，</w:t>
      </w:r>
      <w:r>
        <w:rPr>
          <w:rFonts w:hint="eastAsia" w:ascii="仿宋" w:hAnsi="仿宋" w:eastAsia="仿宋"/>
          <w:bCs/>
          <w:color w:val="auto"/>
          <w:szCs w:val="32"/>
        </w:rPr>
        <w:t>决算数</w:t>
      </w:r>
      <w:r>
        <w:rPr>
          <w:rFonts w:hint="eastAsia" w:ascii="仿宋" w:hAnsi="仿宋" w:eastAsia="仿宋"/>
          <w:bCs/>
          <w:color w:val="auto"/>
          <w:szCs w:val="32"/>
          <w:lang w:eastAsia="zh-CN"/>
        </w:rPr>
        <w:t>大</w:t>
      </w:r>
      <w:r>
        <w:rPr>
          <w:rFonts w:hint="eastAsia" w:ascii="仿宋" w:hAnsi="仿宋" w:eastAsia="仿宋"/>
          <w:bCs/>
          <w:color w:val="auto"/>
          <w:szCs w:val="32"/>
        </w:rPr>
        <w:t>于预算数的主要原因是</w:t>
      </w:r>
      <w:r>
        <w:rPr>
          <w:rFonts w:hint="eastAsia" w:ascii="仿宋" w:hAnsi="仿宋" w:eastAsia="仿宋"/>
          <w:bCs/>
          <w:color w:val="auto"/>
          <w:szCs w:val="32"/>
          <w:lang w:val="en-US" w:eastAsia="zh-CN"/>
        </w:rPr>
        <w:t>追加补助的会计代账费用</w:t>
      </w:r>
      <w:r>
        <w:rPr>
          <w:rFonts w:hint="eastAsia" w:ascii="仿宋" w:hAnsi="仿宋" w:eastAsia="仿宋"/>
          <w:bCs/>
          <w:color w:val="auto"/>
          <w:szCs w:val="32"/>
          <w:lang w:eastAsia="zh-CN"/>
        </w:rPr>
        <w:t>。</w:t>
      </w:r>
    </w:p>
    <w:p w14:paraId="2DD664ED">
      <w:pPr>
        <w:numPr>
          <w:ilvl w:val="0"/>
          <w:numId w:val="0"/>
        </w:numPr>
        <w:ind w:firstLine="640" w:firstLineChars="200"/>
        <w:rPr>
          <w:rFonts w:hint="eastAsia" w:ascii="仿宋_GB2312" w:hAnsi="仿宋" w:eastAsia="仿宋_GB2312"/>
          <w:szCs w:val="32"/>
          <w:lang w:val="en-US" w:eastAsia="zh-CN"/>
        </w:rPr>
      </w:pPr>
      <w:r>
        <w:rPr>
          <w:rFonts w:hint="eastAsia" w:ascii="仿宋_GB2312" w:hAnsi="仿宋"/>
          <w:szCs w:val="32"/>
        </w:rPr>
        <w:t>2.</w:t>
      </w:r>
      <w:r>
        <w:rPr>
          <w:rFonts w:hint="eastAsia" w:ascii="仿宋_GB2312" w:hAnsi="仿宋"/>
          <w:b/>
          <w:szCs w:val="32"/>
        </w:rPr>
        <w:t>社会保障和就业（类）行政事业单位养老支出（款）事业单位离退休（项）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2.38</w:t>
      </w:r>
      <w:r>
        <w:rPr>
          <w:rFonts w:hint="eastAsia" w:ascii="仿宋_GB2312" w:hAnsi="仿宋"/>
          <w:szCs w:val="32"/>
        </w:rPr>
        <w:t>万元，</w:t>
      </w:r>
      <w:r>
        <w:rPr>
          <w:rFonts w:hint="eastAsia" w:ascii="仿宋" w:hAnsi="仿宋" w:eastAsia="仿宋"/>
          <w:bCs/>
          <w:color w:val="auto"/>
          <w:szCs w:val="32"/>
        </w:rPr>
        <w:t>决算数</w:t>
      </w:r>
      <w:r>
        <w:rPr>
          <w:rFonts w:hint="eastAsia" w:ascii="仿宋" w:hAnsi="仿宋" w:eastAsia="仿宋"/>
          <w:bCs/>
          <w:color w:val="auto"/>
          <w:szCs w:val="32"/>
          <w:lang w:eastAsia="zh-CN"/>
        </w:rPr>
        <w:t>大</w:t>
      </w:r>
      <w:r>
        <w:rPr>
          <w:rFonts w:hint="eastAsia" w:ascii="仿宋" w:hAnsi="仿宋" w:eastAsia="仿宋"/>
          <w:bCs/>
          <w:color w:val="auto"/>
          <w:szCs w:val="32"/>
        </w:rPr>
        <w:t>于预算数的主要原因是</w:t>
      </w:r>
      <w:r>
        <w:rPr>
          <w:rFonts w:hint="eastAsia" w:ascii="仿宋" w:hAnsi="仿宋" w:eastAsia="仿宋"/>
          <w:bCs/>
          <w:color w:val="auto"/>
          <w:szCs w:val="32"/>
          <w:lang w:val="en-US" w:eastAsia="zh-CN"/>
        </w:rPr>
        <w:t>追加补发退休人员提租补贴</w:t>
      </w:r>
      <w:r>
        <w:rPr>
          <w:rFonts w:hint="eastAsia" w:ascii="仿宋" w:hAnsi="仿宋" w:eastAsia="仿宋"/>
          <w:bCs/>
          <w:color w:val="auto"/>
          <w:szCs w:val="32"/>
          <w:lang w:eastAsia="zh-CN"/>
        </w:rPr>
        <w:t>。</w:t>
      </w:r>
    </w:p>
    <w:p w14:paraId="3B360EB8">
      <w:pPr>
        <w:ind w:firstLine="640" w:firstLineChars="200"/>
        <w:rPr>
          <w:rFonts w:hint="eastAsia" w:ascii="仿宋_GB2312" w:hAnsi="仿宋"/>
          <w:szCs w:val="32"/>
        </w:rPr>
      </w:pPr>
      <w:r>
        <w:rPr>
          <w:rFonts w:hint="eastAsia" w:ascii="仿宋_GB2312" w:hAnsi="仿宋"/>
          <w:szCs w:val="32"/>
        </w:rPr>
        <w:t>3.</w:t>
      </w:r>
      <w:r>
        <w:rPr>
          <w:rFonts w:hint="eastAsia" w:ascii="仿宋_GB2312" w:hAnsi="仿宋"/>
          <w:b/>
          <w:szCs w:val="32"/>
        </w:rPr>
        <w:t>社会保障和就业（类）行政事业单位养老支出（款）机关事业单位基本养老保险缴费支出（项）</w:t>
      </w:r>
      <w:r>
        <w:rPr>
          <w:rFonts w:hint="eastAsia" w:ascii="仿宋_GB2312" w:hAnsi="仿宋"/>
          <w:szCs w:val="32"/>
        </w:rPr>
        <w:t>。年初预算为</w:t>
      </w:r>
      <w:r>
        <w:rPr>
          <w:rFonts w:hint="eastAsia" w:ascii="仿宋_GB2312" w:hAnsi="仿宋"/>
          <w:szCs w:val="32"/>
          <w:lang w:val="en-US" w:eastAsia="zh-CN"/>
        </w:rPr>
        <w:t>13.13</w:t>
      </w:r>
      <w:r>
        <w:rPr>
          <w:rFonts w:hint="eastAsia" w:ascii="仿宋_GB2312" w:hAnsi="仿宋"/>
          <w:szCs w:val="32"/>
        </w:rPr>
        <w:t>万元，支出决算为</w:t>
      </w:r>
      <w:r>
        <w:rPr>
          <w:rFonts w:hint="eastAsia" w:ascii="仿宋_GB2312" w:hAnsi="仿宋"/>
          <w:szCs w:val="32"/>
          <w:lang w:val="en-US" w:eastAsia="zh-CN"/>
        </w:rPr>
        <w:t>12.71</w:t>
      </w:r>
      <w:r>
        <w:rPr>
          <w:rFonts w:hint="eastAsia" w:ascii="仿宋_GB2312" w:hAnsi="仿宋"/>
          <w:szCs w:val="32"/>
        </w:rPr>
        <w:t>万元，完成年初预算的</w:t>
      </w:r>
      <w:r>
        <w:rPr>
          <w:rFonts w:hint="eastAsia" w:ascii="仿宋_GB2312" w:hAnsi="仿宋"/>
          <w:szCs w:val="32"/>
          <w:lang w:val="en-US" w:eastAsia="zh-CN"/>
        </w:rPr>
        <w:t>96.80</w:t>
      </w:r>
      <w:r>
        <w:rPr>
          <w:rFonts w:hint="eastAsia" w:ascii="仿宋_GB2312" w:hAnsi="仿宋"/>
          <w:szCs w:val="32"/>
        </w:rPr>
        <w:t>%</w:t>
      </w:r>
      <w:r>
        <w:rPr>
          <w:rFonts w:hint="eastAsia" w:ascii="仿宋_GB2312" w:hAnsi="仿宋"/>
          <w:szCs w:val="32"/>
          <w:lang w:eastAsia="zh-CN"/>
        </w:rPr>
        <w:t>，</w:t>
      </w:r>
      <w:r>
        <w:rPr>
          <w:rFonts w:hint="eastAsia" w:ascii="仿宋" w:hAnsi="仿宋" w:eastAsia="仿宋"/>
          <w:bCs/>
          <w:color w:val="auto"/>
          <w:szCs w:val="32"/>
          <w:lang w:val="en-US" w:eastAsia="zh-CN"/>
        </w:rPr>
        <w:t>决算数少于预算数原因为支出减少</w:t>
      </w:r>
      <w:r>
        <w:rPr>
          <w:rFonts w:hint="eastAsia" w:ascii="仿宋" w:hAnsi="仿宋" w:eastAsia="仿宋"/>
          <w:bCs/>
          <w:color w:val="auto"/>
          <w:szCs w:val="32"/>
        </w:rPr>
        <w:t>。</w:t>
      </w:r>
    </w:p>
    <w:p w14:paraId="32B1721F">
      <w:pPr>
        <w:ind w:firstLine="640" w:firstLineChars="200"/>
        <w:rPr>
          <w:rFonts w:hint="eastAsia" w:ascii="仿宋_GB2312" w:hAnsi="仿宋" w:eastAsia="仿宋_GB2312"/>
          <w:szCs w:val="32"/>
          <w:lang w:eastAsia="zh-CN"/>
        </w:rPr>
      </w:pPr>
      <w:r>
        <w:rPr>
          <w:rFonts w:hint="eastAsia" w:ascii="仿宋_GB2312" w:hAnsi="仿宋"/>
          <w:szCs w:val="32"/>
        </w:rPr>
        <w:t>4.</w:t>
      </w:r>
      <w:r>
        <w:rPr>
          <w:rFonts w:hint="eastAsia" w:ascii="仿宋_GB2312" w:hAnsi="仿宋"/>
          <w:b/>
          <w:szCs w:val="32"/>
        </w:rPr>
        <w:t>社会保障和就业（类）行政事业单位养老支出（款）机关事业单位职业年金缴费支出（项）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18.22</w:t>
      </w:r>
      <w:r>
        <w:rPr>
          <w:rFonts w:hint="eastAsia" w:ascii="仿宋_GB2312" w:hAnsi="仿宋"/>
          <w:szCs w:val="32"/>
        </w:rPr>
        <w:t>万元，</w:t>
      </w:r>
      <w:r>
        <w:rPr>
          <w:rFonts w:hint="eastAsia" w:ascii="仿宋" w:hAnsi="仿宋" w:eastAsia="仿宋"/>
          <w:bCs/>
          <w:color w:val="auto"/>
          <w:szCs w:val="32"/>
        </w:rPr>
        <w:t>决算数</w:t>
      </w:r>
      <w:r>
        <w:rPr>
          <w:rFonts w:hint="eastAsia" w:ascii="仿宋" w:hAnsi="仿宋" w:eastAsia="仿宋"/>
          <w:bCs/>
          <w:color w:val="auto"/>
          <w:szCs w:val="32"/>
          <w:lang w:eastAsia="zh-CN"/>
        </w:rPr>
        <w:t>大</w:t>
      </w:r>
      <w:r>
        <w:rPr>
          <w:rFonts w:hint="eastAsia" w:ascii="仿宋" w:hAnsi="仿宋" w:eastAsia="仿宋"/>
          <w:bCs/>
          <w:color w:val="auto"/>
          <w:szCs w:val="32"/>
        </w:rPr>
        <w:t>于预算数的主要原因是</w:t>
      </w:r>
      <w:r>
        <w:rPr>
          <w:rFonts w:hint="eastAsia" w:ascii="仿宋" w:hAnsi="仿宋" w:eastAsia="仿宋"/>
          <w:bCs/>
          <w:color w:val="auto"/>
          <w:szCs w:val="32"/>
          <w:lang w:eastAsia="zh-CN"/>
        </w:rPr>
        <w:t>补缴职业年金、退休职业年金做实，</w:t>
      </w:r>
      <w:r>
        <w:rPr>
          <w:rFonts w:hint="eastAsia" w:ascii="仿宋" w:hAnsi="仿宋" w:eastAsia="仿宋"/>
          <w:bCs/>
          <w:color w:val="auto"/>
          <w:szCs w:val="32"/>
          <w:lang w:val="en-US" w:eastAsia="zh-CN"/>
        </w:rPr>
        <w:t>预算追加。</w:t>
      </w:r>
    </w:p>
    <w:p w14:paraId="7D5A8E3B">
      <w:pPr>
        <w:adjustRightInd w:val="0"/>
        <w:snapToGrid w:val="0"/>
        <w:spacing w:line="360" w:lineRule="auto"/>
        <w:ind w:firstLine="640" w:firstLineChars="200"/>
        <w:rPr>
          <w:rFonts w:hint="eastAsia" w:ascii="仿宋_GB2312" w:hAnsi="仿宋" w:eastAsia="仿宋_GB2312"/>
          <w:szCs w:val="32"/>
          <w:lang w:eastAsia="zh-CN"/>
        </w:rPr>
      </w:pPr>
      <w:r>
        <w:rPr>
          <w:rFonts w:hint="eastAsia" w:ascii="仿宋_GB2312" w:hAnsi="仿宋"/>
          <w:szCs w:val="32"/>
        </w:rPr>
        <w:t>5</w:t>
      </w:r>
      <w:r>
        <w:rPr>
          <w:rFonts w:hint="eastAsia" w:ascii="仿宋_GB2312" w:hAnsi="仿宋"/>
          <w:szCs w:val="32"/>
          <w:lang w:eastAsia="zh-CN"/>
        </w:rPr>
        <w:t>.</w:t>
      </w:r>
      <w:r>
        <w:rPr>
          <w:rFonts w:hint="eastAsia" w:ascii="仿宋_GB2312" w:hAnsi="仿宋"/>
          <w:b/>
          <w:szCs w:val="32"/>
        </w:rPr>
        <w:t>社会保障和就业（类）其他社会保障和就业支出（款）其他社会保障和就业支出（项）</w:t>
      </w:r>
      <w:r>
        <w:rPr>
          <w:rFonts w:hint="eastAsia" w:ascii="仿宋_GB2312" w:hAnsi="仿宋"/>
          <w:szCs w:val="32"/>
        </w:rPr>
        <w:t>。年初预算为</w:t>
      </w:r>
      <w:r>
        <w:rPr>
          <w:rFonts w:hint="eastAsia" w:ascii="仿宋_GB2312" w:hAnsi="仿宋"/>
          <w:szCs w:val="32"/>
          <w:lang w:val="en-US" w:eastAsia="zh-CN"/>
        </w:rPr>
        <w:t>6.99</w:t>
      </w:r>
      <w:r>
        <w:rPr>
          <w:rFonts w:hint="eastAsia" w:ascii="仿宋_GB2312" w:hAnsi="仿宋"/>
          <w:szCs w:val="32"/>
        </w:rPr>
        <w:t>万元，支出决算为</w:t>
      </w:r>
      <w:r>
        <w:rPr>
          <w:rFonts w:hint="eastAsia" w:ascii="仿宋_GB2312" w:hAnsi="仿宋"/>
          <w:szCs w:val="32"/>
          <w:lang w:val="en-US" w:eastAsia="zh-CN"/>
        </w:rPr>
        <w:t>6.87</w:t>
      </w:r>
      <w:r>
        <w:rPr>
          <w:rFonts w:hint="eastAsia" w:ascii="仿宋_GB2312" w:hAnsi="仿宋"/>
          <w:szCs w:val="32"/>
        </w:rPr>
        <w:t>万元，完成年初预算的</w:t>
      </w:r>
      <w:r>
        <w:rPr>
          <w:rFonts w:hint="eastAsia" w:ascii="仿宋_GB2312" w:hAnsi="仿宋"/>
          <w:szCs w:val="32"/>
          <w:lang w:val="en-US" w:eastAsia="zh-CN"/>
        </w:rPr>
        <w:t>98.28</w:t>
      </w:r>
      <w:r>
        <w:rPr>
          <w:rFonts w:hint="eastAsia" w:ascii="仿宋_GB2312" w:hAnsi="仿宋"/>
          <w:szCs w:val="32"/>
        </w:rPr>
        <w:t>%</w:t>
      </w:r>
      <w:r>
        <w:rPr>
          <w:rFonts w:hint="eastAsia" w:ascii="仿宋_GB2312" w:hAnsi="仿宋"/>
          <w:szCs w:val="32"/>
          <w:lang w:eastAsia="zh-CN"/>
        </w:rPr>
        <w:t>，</w:t>
      </w:r>
      <w:r>
        <w:rPr>
          <w:rFonts w:hint="eastAsia" w:ascii="仿宋" w:hAnsi="仿宋" w:eastAsia="仿宋"/>
          <w:bCs/>
          <w:color w:val="auto"/>
          <w:szCs w:val="32"/>
          <w:lang w:val="en-US" w:eastAsia="zh-CN"/>
        </w:rPr>
        <w:t>决算数少于预算数原因为支出减少</w:t>
      </w:r>
      <w:r>
        <w:rPr>
          <w:rFonts w:hint="eastAsia" w:ascii="仿宋" w:hAnsi="仿宋" w:eastAsia="仿宋"/>
          <w:bCs/>
          <w:color w:val="auto"/>
          <w:szCs w:val="32"/>
        </w:rPr>
        <w:t>。</w:t>
      </w:r>
    </w:p>
    <w:p w14:paraId="109C3FDB">
      <w:pPr>
        <w:adjustRightInd w:val="0"/>
        <w:snapToGrid w:val="0"/>
        <w:spacing w:line="360" w:lineRule="auto"/>
        <w:ind w:firstLine="640" w:firstLineChars="200"/>
        <w:rPr>
          <w:rFonts w:hint="eastAsia" w:ascii="仿宋_GB2312" w:hAnsi="仿宋" w:eastAsia="仿宋_GB2312"/>
          <w:szCs w:val="32"/>
          <w:lang w:eastAsia="zh-CN"/>
        </w:rPr>
      </w:pPr>
      <w:r>
        <w:rPr>
          <w:rFonts w:hint="eastAsia" w:ascii="仿宋_GB2312" w:hAnsi="仿宋"/>
          <w:b w:val="0"/>
          <w:bCs/>
          <w:szCs w:val="32"/>
          <w:lang w:val="en-US" w:eastAsia="zh-CN"/>
        </w:rPr>
        <w:t>6.</w:t>
      </w:r>
      <w:r>
        <w:rPr>
          <w:rFonts w:hint="eastAsia" w:ascii="仿宋_GB2312" w:hAnsi="仿宋"/>
          <w:b/>
          <w:szCs w:val="32"/>
        </w:rPr>
        <w:t>卫生健康（类）行政事业单位医疗（款）事业单位医疗（项）</w:t>
      </w:r>
      <w:r>
        <w:rPr>
          <w:rFonts w:hint="eastAsia" w:ascii="仿宋_GB2312" w:hAnsi="仿宋"/>
          <w:szCs w:val="32"/>
        </w:rPr>
        <w:t>。年初预算为</w:t>
      </w:r>
      <w:r>
        <w:rPr>
          <w:rFonts w:hint="eastAsia" w:ascii="仿宋_GB2312" w:hAnsi="仿宋"/>
          <w:szCs w:val="32"/>
          <w:lang w:val="en-US" w:eastAsia="zh-CN"/>
        </w:rPr>
        <w:t>5.05</w:t>
      </w:r>
      <w:r>
        <w:rPr>
          <w:rFonts w:hint="eastAsia" w:ascii="仿宋_GB2312" w:hAnsi="仿宋"/>
          <w:szCs w:val="32"/>
        </w:rPr>
        <w:t>万元，支出决算为4.35万元，完成年初预算的</w:t>
      </w:r>
      <w:r>
        <w:rPr>
          <w:rFonts w:hint="eastAsia" w:ascii="仿宋_GB2312" w:hAnsi="仿宋"/>
          <w:szCs w:val="32"/>
          <w:lang w:val="en-US" w:eastAsia="zh-CN"/>
        </w:rPr>
        <w:t>86.14</w:t>
      </w:r>
      <w:r>
        <w:rPr>
          <w:rFonts w:hint="eastAsia" w:ascii="仿宋_GB2312" w:hAnsi="仿宋"/>
          <w:szCs w:val="32"/>
        </w:rPr>
        <w:t>%</w:t>
      </w:r>
      <w:r>
        <w:rPr>
          <w:rFonts w:hint="eastAsia" w:ascii="仿宋_GB2312" w:hAnsi="仿宋"/>
          <w:szCs w:val="32"/>
          <w:lang w:eastAsia="zh-CN"/>
        </w:rPr>
        <w:t>，</w:t>
      </w:r>
      <w:r>
        <w:rPr>
          <w:rFonts w:hint="eastAsia" w:ascii="仿宋" w:hAnsi="仿宋" w:eastAsia="仿宋"/>
          <w:bCs/>
          <w:color w:val="auto"/>
          <w:szCs w:val="32"/>
          <w:lang w:val="en-US" w:eastAsia="zh-CN"/>
        </w:rPr>
        <w:t>决算数少于预算数原因为支出减少</w:t>
      </w:r>
      <w:r>
        <w:rPr>
          <w:rFonts w:hint="eastAsia" w:ascii="仿宋" w:hAnsi="仿宋" w:eastAsia="仿宋"/>
          <w:bCs/>
          <w:color w:val="auto"/>
          <w:szCs w:val="32"/>
        </w:rPr>
        <w:t>。</w:t>
      </w:r>
    </w:p>
    <w:p w14:paraId="1CAED372">
      <w:pPr>
        <w:adjustRightInd w:val="0"/>
        <w:snapToGrid w:val="0"/>
        <w:spacing w:line="360" w:lineRule="auto"/>
        <w:ind w:firstLine="640" w:firstLineChars="200"/>
        <w:rPr>
          <w:rFonts w:hint="eastAsia" w:ascii="仿宋_GB2312" w:hAnsi="仿宋" w:eastAsia="仿宋_GB2312"/>
          <w:szCs w:val="32"/>
          <w:lang w:eastAsia="zh-CN"/>
        </w:rPr>
      </w:pPr>
      <w:r>
        <w:rPr>
          <w:rFonts w:hint="eastAsia" w:ascii="仿宋_GB2312" w:hAnsi="仿宋"/>
          <w:b w:val="0"/>
          <w:bCs w:val="0"/>
          <w:szCs w:val="32"/>
          <w:lang w:val="en-US" w:eastAsia="zh-CN"/>
        </w:rPr>
        <w:t>7.</w:t>
      </w:r>
      <w:r>
        <w:rPr>
          <w:rFonts w:hint="eastAsia" w:ascii="仿宋_GB2312" w:hAnsi="仿宋"/>
          <w:b/>
          <w:szCs w:val="32"/>
        </w:rPr>
        <w:t>卫生健康（类）行政事业单位医疗（款）公务员医疗补助（项）</w:t>
      </w:r>
      <w:r>
        <w:rPr>
          <w:rFonts w:hint="eastAsia" w:ascii="仿宋_GB2312" w:hAnsi="仿宋"/>
          <w:szCs w:val="32"/>
        </w:rPr>
        <w:t>。年初预算为</w:t>
      </w:r>
      <w:r>
        <w:rPr>
          <w:rFonts w:hint="eastAsia" w:ascii="仿宋_GB2312" w:hAnsi="仿宋"/>
          <w:szCs w:val="32"/>
          <w:lang w:val="en-US" w:eastAsia="zh-CN"/>
        </w:rPr>
        <w:t>2.65</w:t>
      </w:r>
      <w:r>
        <w:rPr>
          <w:rFonts w:hint="eastAsia" w:ascii="仿宋_GB2312" w:hAnsi="仿宋"/>
          <w:szCs w:val="32"/>
        </w:rPr>
        <w:t>万元，支出决算为2.44万元，完成年初预算的</w:t>
      </w:r>
      <w:r>
        <w:rPr>
          <w:rFonts w:hint="eastAsia" w:ascii="仿宋_GB2312" w:hAnsi="仿宋"/>
          <w:szCs w:val="32"/>
          <w:lang w:val="en-US" w:eastAsia="zh-CN"/>
        </w:rPr>
        <w:t>92.08</w:t>
      </w:r>
      <w:r>
        <w:rPr>
          <w:rFonts w:hint="eastAsia" w:ascii="仿宋_GB2312" w:hAnsi="仿宋"/>
          <w:szCs w:val="32"/>
        </w:rPr>
        <w:t>%</w:t>
      </w:r>
      <w:r>
        <w:rPr>
          <w:rFonts w:hint="eastAsia" w:ascii="仿宋_GB2312" w:hAnsi="仿宋"/>
          <w:szCs w:val="32"/>
          <w:lang w:eastAsia="zh-CN"/>
        </w:rPr>
        <w:t>，</w:t>
      </w:r>
      <w:r>
        <w:rPr>
          <w:rFonts w:hint="eastAsia" w:ascii="仿宋" w:hAnsi="仿宋" w:eastAsia="仿宋"/>
          <w:bCs/>
          <w:color w:val="auto"/>
          <w:szCs w:val="32"/>
          <w:lang w:val="en-US" w:eastAsia="zh-CN"/>
        </w:rPr>
        <w:t>决算数少于预算数原因为支出减少</w:t>
      </w:r>
      <w:r>
        <w:rPr>
          <w:rFonts w:hint="eastAsia" w:ascii="仿宋" w:hAnsi="仿宋" w:eastAsia="仿宋"/>
          <w:bCs/>
          <w:color w:val="auto"/>
          <w:szCs w:val="32"/>
        </w:rPr>
        <w:t>。</w:t>
      </w:r>
    </w:p>
    <w:p w14:paraId="26962A96">
      <w:pPr>
        <w:adjustRightInd w:val="0"/>
        <w:snapToGrid w:val="0"/>
        <w:spacing w:line="360" w:lineRule="auto"/>
        <w:ind w:firstLine="640" w:firstLineChars="200"/>
        <w:rPr>
          <w:rFonts w:ascii="仿宋_GB2312" w:hAnsi="仿宋"/>
          <w:szCs w:val="32"/>
        </w:rPr>
      </w:pPr>
      <w:r>
        <w:rPr>
          <w:rFonts w:hint="eastAsia" w:ascii="仿宋_GB2312" w:hAnsi="仿宋"/>
          <w:b w:val="0"/>
          <w:bCs w:val="0"/>
          <w:szCs w:val="32"/>
          <w:lang w:val="en-US" w:eastAsia="zh-CN"/>
        </w:rPr>
        <w:t>8</w:t>
      </w:r>
      <w:r>
        <w:rPr>
          <w:rFonts w:hint="eastAsia" w:ascii="仿宋_GB2312" w:hAnsi="仿宋"/>
          <w:b/>
          <w:bCs/>
          <w:szCs w:val="32"/>
          <w:lang w:val="en-US" w:eastAsia="zh-CN"/>
        </w:rPr>
        <w:t>.</w:t>
      </w:r>
      <w:r>
        <w:rPr>
          <w:rFonts w:hint="eastAsia" w:ascii="仿宋_GB2312" w:hAnsi="仿宋"/>
          <w:b/>
          <w:szCs w:val="32"/>
        </w:rPr>
        <w:t>城乡社区（类）城乡社区管理事务（款）其他城乡社区管理事务支出（项）</w:t>
      </w:r>
      <w:r>
        <w:rPr>
          <w:rFonts w:hint="eastAsia" w:ascii="仿宋_GB2312" w:hAnsi="仿宋"/>
          <w:szCs w:val="32"/>
        </w:rPr>
        <w:t>。年初预算为</w:t>
      </w:r>
      <w:r>
        <w:rPr>
          <w:rFonts w:hint="eastAsia" w:ascii="仿宋_GB2312" w:hAnsi="仿宋"/>
          <w:szCs w:val="32"/>
          <w:lang w:val="en-US" w:eastAsia="zh-CN"/>
        </w:rPr>
        <w:t>233.28</w:t>
      </w:r>
      <w:r>
        <w:rPr>
          <w:rFonts w:hint="eastAsia" w:ascii="仿宋_GB2312" w:hAnsi="仿宋"/>
          <w:szCs w:val="32"/>
        </w:rPr>
        <w:t>万元，支出决算为214.49万元，完成年初预算的</w:t>
      </w:r>
      <w:r>
        <w:rPr>
          <w:rFonts w:hint="eastAsia" w:ascii="仿宋_GB2312" w:hAnsi="仿宋"/>
          <w:szCs w:val="32"/>
          <w:lang w:val="en-US" w:eastAsia="zh-CN"/>
        </w:rPr>
        <w:t>91.95%，</w:t>
      </w:r>
      <w:r>
        <w:rPr>
          <w:rFonts w:hint="eastAsia" w:ascii="仿宋" w:hAnsi="仿宋" w:eastAsia="仿宋"/>
          <w:bCs/>
          <w:color w:val="auto"/>
          <w:szCs w:val="32"/>
          <w:lang w:val="en-US" w:eastAsia="zh-CN"/>
        </w:rPr>
        <w:t>决算数少于预算数原因为支出减少</w:t>
      </w:r>
      <w:r>
        <w:rPr>
          <w:rFonts w:hint="eastAsia" w:ascii="仿宋" w:hAnsi="仿宋" w:eastAsia="仿宋"/>
          <w:bCs/>
          <w:color w:val="auto"/>
          <w:szCs w:val="32"/>
        </w:rPr>
        <w:t>。</w:t>
      </w:r>
    </w:p>
    <w:p w14:paraId="6584BF76">
      <w:pPr>
        <w:adjustRightInd w:val="0"/>
        <w:snapToGrid w:val="0"/>
        <w:spacing w:line="360" w:lineRule="auto"/>
        <w:ind w:firstLine="640" w:firstLineChars="200"/>
        <w:rPr>
          <w:rFonts w:hint="eastAsia" w:ascii="仿宋_GB2312" w:hAnsi="仿宋" w:eastAsia="仿宋_GB2312"/>
          <w:szCs w:val="32"/>
          <w:lang w:eastAsia="zh-CN"/>
        </w:rPr>
      </w:pPr>
      <w:r>
        <w:rPr>
          <w:rFonts w:hint="eastAsia" w:ascii="仿宋_GB2312" w:hAnsi="仿宋"/>
          <w:b w:val="0"/>
          <w:bCs w:val="0"/>
          <w:szCs w:val="32"/>
          <w:lang w:val="en-US" w:eastAsia="zh-CN"/>
        </w:rPr>
        <w:t>9</w:t>
      </w:r>
      <w:r>
        <w:rPr>
          <w:rFonts w:hint="eastAsia" w:ascii="仿宋_GB2312" w:hAnsi="仿宋"/>
          <w:b/>
          <w:bCs/>
          <w:szCs w:val="32"/>
          <w:lang w:val="en-US" w:eastAsia="zh-CN"/>
        </w:rPr>
        <w:t>.</w:t>
      </w:r>
      <w:r>
        <w:rPr>
          <w:rFonts w:hint="eastAsia" w:ascii="仿宋_GB2312" w:hAnsi="仿宋"/>
          <w:b/>
          <w:szCs w:val="32"/>
        </w:rPr>
        <w:t>住保障房（类）住房改革（款）住房公积金（项）</w:t>
      </w:r>
      <w:r>
        <w:rPr>
          <w:rFonts w:hint="eastAsia" w:ascii="仿宋_GB2312" w:hAnsi="仿宋"/>
          <w:szCs w:val="32"/>
        </w:rPr>
        <w:t>。年初预算为</w:t>
      </w:r>
      <w:r>
        <w:rPr>
          <w:rFonts w:hint="eastAsia" w:ascii="仿宋_GB2312" w:hAnsi="仿宋"/>
          <w:szCs w:val="32"/>
          <w:lang w:val="en-US" w:eastAsia="zh-CN"/>
        </w:rPr>
        <w:t>9.67</w:t>
      </w:r>
      <w:r>
        <w:rPr>
          <w:rFonts w:hint="eastAsia" w:ascii="仿宋_GB2312" w:hAnsi="仿宋"/>
          <w:szCs w:val="32"/>
        </w:rPr>
        <w:t>万元，支出决算为8.14万元，完成年初预算的</w:t>
      </w:r>
      <w:r>
        <w:rPr>
          <w:rFonts w:hint="eastAsia" w:ascii="仿宋_GB2312" w:hAnsi="仿宋"/>
          <w:szCs w:val="32"/>
          <w:lang w:val="en-US" w:eastAsia="zh-CN"/>
        </w:rPr>
        <w:t>84.18</w:t>
      </w:r>
      <w:r>
        <w:rPr>
          <w:rFonts w:hint="eastAsia" w:ascii="仿宋_GB2312" w:hAnsi="仿宋"/>
          <w:szCs w:val="32"/>
        </w:rPr>
        <w:t>%</w:t>
      </w:r>
      <w:r>
        <w:rPr>
          <w:rFonts w:hint="eastAsia" w:ascii="仿宋_GB2312" w:hAnsi="仿宋"/>
          <w:szCs w:val="32"/>
          <w:lang w:eastAsia="zh-CN"/>
        </w:rPr>
        <w:t>，</w:t>
      </w:r>
      <w:r>
        <w:rPr>
          <w:rFonts w:hint="eastAsia" w:ascii="仿宋" w:hAnsi="仿宋" w:eastAsia="仿宋"/>
          <w:bCs/>
          <w:color w:val="auto"/>
          <w:szCs w:val="32"/>
          <w:lang w:val="en-US" w:eastAsia="zh-CN"/>
        </w:rPr>
        <w:t>决算数少于预算数原因为支出减少</w:t>
      </w:r>
      <w:r>
        <w:rPr>
          <w:rFonts w:hint="eastAsia" w:ascii="仿宋" w:hAnsi="仿宋" w:eastAsia="仿宋"/>
          <w:bCs/>
          <w:color w:val="auto"/>
          <w:szCs w:val="32"/>
        </w:rPr>
        <w:t>。</w:t>
      </w:r>
    </w:p>
    <w:p w14:paraId="24D35E6A">
      <w:pPr>
        <w:numPr>
          <w:ilvl w:val="0"/>
          <w:numId w:val="0"/>
        </w:numPr>
        <w:ind w:firstLine="640" w:firstLineChars="200"/>
        <w:rPr>
          <w:rFonts w:hint="eastAsia" w:ascii="仿宋_GB2312" w:hAnsi="仿宋" w:eastAsia="仿宋_GB2312"/>
          <w:szCs w:val="32"/>
          <w:lang w:eastAsia="zh-CN"/>
        </w:rPr>
      </w:pPr>
      <w:r>
        <w:rPr>
          <w:rFonts w:hint="eastAsia" w:ascii="仿宋_GB2312" w:hAnsi="仿宋"/>
          <w:b w:val="0"/>
          <w:bCs/>
          <w:szCs w:val="32"/>
          <w:lang w:val="en-US" w:eastAsia="zh-CN"/>
        </w:rPr>
        <w:t>10.</w:t>
      </w:r>
      <w:r>
        <w:rPr>
          <w:rFonts w:hint="eastAsia" w:ascii="仿宋_GB2312" w:hAnsi="仿宋"/>
          <w:b/>
          <w:szCs w:val="32"/>
        </w:rPr>
        <w:t>住保障房（类）住房改革（款）提租补贴（项）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万元，支出决算为3.71万元。</w:t>
      </w:r>
      <w:r>
        <w:rPr>
          <w:rFonts w:hint="eastAsia" w:ascii="仿宋" w:hAnsi="仿宋" w:eastAsia="仿宋"/>
          <w:bCs/>
          <w:color w:val="auto"/>
          <w:szCs w:val="32"/>
        </w:rPr>
        <w:t>决算数</w:t>
      </w:r>
      <w:r>
        <w:rPr>
          <w:rFonts w:hint="eastAsia" w:ascii="仿宋" w:hAnsi="仿宋" w:eastAsia="仿宋"/>
          <w:bCs/>
          <w:color w:val="auto"/>
          <w:szCs w:val="32"/>
          <w:lang w:eastAsia="zh-CN"/>
        </w:rPr>
        <w:t>大</w:t>
      </w:r>
      <w:r>
        <w:rPr>
          <w:rFonts w:hint="eastAsia" w:ascii="仿宋" w:hAnsi="仿宋" w:eastAsia="仿宋"/>
          <w:bCs/>
          <w:color w:val="auto"/>
          <w:szCs w:val="32"/>
        </w:rPr>
        <w:t>于预算数的主要原因是</w:t>
      </w:r>
      <w:r>
        <w:rPr>
          <w:rFonts w:hint="eastAsia" w:ascii="仿宋" w:hAnsi="仿宋" w:eastAsia="仿宋"/>
          <w:bCs/>
          <w:color w:val="auto"/>
          <w:szCs w:val="32"/>
          <w:lang w:val="en-US" w:eastAsia="zh-CN"/>
        </w:rPr>
        <w:t>追加补发在职人员提租补贴</w:t>
      </w:r>
      <w:r>
        <w:rPr>
          <w:rFonts w:hint="eastAsia" w:ascii="仿宋" w:hAnsi="仿宋" w:eastAsia="仿宋"/>
          <w:bCs/>
          <w:color w:val="auto"/>
          <w:szCs w:val="32"/>
          <w:lang w:eastAsia="zh-CN"/>
        </w:rPr>
        <w:t>。</w:t>
      </w:r>
    </w:p>
    <w:p w14:paraId="459494BB">
      <w:pPr>
        <w:ind w:firstLine="640" w:firstLineChars="200"/>
        <w:rPr>
          <w:rFonts w:hint="eastAsia" w:ascii="楷体_GB2312" w:hAnsi="仿宋" w:eastAsia="仿宋_GB2312"/>
          <w:szCs w:val="32"/>
          <w:lang w:eastAsia="zh-CN"/>
        </w:rPr>
      </w:pPr>
      <w:r>
        <w:rPr>
          <w:rFonts w:hint="eastAsia" w:ascii="仿宋_GB2312" w:hAnsi="仿宋"/>
          <w:b w:val="0"/>
          <w:bCs w:val="0"/>
          <w:szCs w:val="32"/>
          <w:lang w:val="en-US" w:eastAsia="zh-CN"/>
        </w:rPr>
        <w:t>11.</w:t>
      </w:r>
      <w:r>
        <w:rPr>
          <w:rFonts w:hint="eastAsia" w:ascii="仿宋_GB2312" w:hAnsi="仿宋"/>
          <w:b/>
          <w:szCs w:val="32"/>
        </w:rPr>
        <w:t>住保障房（类）住房改革（款）购房补贴（项）</w:t>
      </w:r>
      <w:r>
        <w:rPr>
          <w:rFonts w:hint="eastAsia" w:ascii="仿宋_GB2312" w:hAnsi="仿宋"/>
          <w:szCs w:val="32"/>
        </w:rPr>
        <w:t>。年初预算为</w:t>
      </w:r>
      <w:r>
        <w:rPr>
          <w:rFonts w:hint="eastAsia" w:ascii="仿宋_GB2312" w:hAnsi="仿宋"/>
          <w:szCs w:val="32"/>
          <w:lang w:val="en-US" w:eastAsia="zh-CN"/>
        </w:rPr>
        <w:t>4.03</w:t>
      </w:r>
      <w:r>
        <w:rPr>
          <w:rFonts w:hint="eastAsia" w:ascii="仿宋_GB2312" w:hAnsi="仿宋"/>
          <w:szCs w:val="32"/>
        </w:rPr>
        <w:t>万元，支出决算为3.39万元，完成年初预算的</w:t>
      </w:r>
      <w:r>
        <w:rPr>
          <w:rFonts w:hint="eastAsia" w:ascii="仿宋_GB2312" w:hAnsi="仿宋"/>
          <w:szCs w:val="32"/>
          <w:lang w:val="en-US" w:eastAsia="zh-CN"/>
        </w:rPr>
        <w:t>84.12</w:t>
      </w:r>
      <w:r>
        <w:rPr>
          <w:rFonts w:hint="eastAsia" w:ascii="仿宋_GB2312" w:hAnsi="仿宋"/>
          <w:szCs w:val="32"/>
        </w:rPr>
        <w:t>%</w:t>
      </w:r>
      <w:r>
        <w:rPr>
          <w:rFonts w:hint="eastAsia" w:ascii="仿宋_GB2312" w:hAnsi="仿宋"/>
          <w:szCs w:val="32"/>
          <w:lang w:eastAsia="zh-CN"/>
        </w:rPr>
        <w:t>，</w:t>
      </w:r>
      <w:r>
        <w:rPr>
          <w:rFonts w:hint="eastAsia" w:ascii="仿宋" w:hAnsi="仿宋" w:eastAsia="仿宋"/>
          <w:bCs/>
          <w:color w:val="auto"/>
          <w:szCs w:val="32"/>
          <w:lang w:val="en-US" w:eastAsia="zh-CN"/>
        </w:rPr>
        <w:t>决算数少于预算数原因为支出减少</w:t>
      </w:r>
      <w:r>
        <w:rPr>
          <w:rFonts w:hint="eastAsia" w:ascii="仿宋" w:hAnsi="仿宋" w:eastAsia="仿宋"/>
          <w:bCs/>
          <w:color w:val="auto"/>
          <w:szCs w:val="32"/>
        </w:rPr>
        <w:t>。</w:t>
      </w:r>
    </w:p>
    <w:p w14:paraId="1568AAFD">
      <w:pPr>
        <w:ind w:firstLine="640"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14:paraId="2C5E6D78">
      <w:pPr>
        <w:ind w:firstLine="640"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年度财政拨款基本支出</w:t>
      </w:r>
      <w:r>
        <w:rPr>
          <w:rFonts w:hint="eastAsia" w:ascii="仿宋_GB2312" w:hAnsi="仿宋"/>
          <w:szCs w:val="32"/>
          <w:lang w:val="en-US" w:eastAsia="zh-CN"/>
        </w:rPr>
        <w:t>161.51</w:t>
      </w:r>
      <w:r>
        <w:rPr>
          <w:rFonts w:hint="eastAsia" w:ascii="仿宋_GB2312" w:hAnsi="仿宋"/>
          <w:szCs w:val="32"/>
        </w:rPr>
        <w:t>万元，其中</w:t>
      </w:r>
      <w:r>
        <w:rPr>
          <w:rFonts w:hint="eastAsia" w:ascii="仿宋_GB2312" w:hAnsi="仿宋"/>
          <w:color w:val="000000"/>
          <w:szCs w:val="32"/>
        </w:rPr>
        <w:t>：</w:t>
      </w:r>
      <w:r>
        <w:rPr>
          <w:rFonts w:hint="eastAsia" w:ascii="仿宋_GB2312" w:hAnsi="仿宋"/>
          <w:szCs w:val="32"/>
        </w:rPr>
        <w:t>人员经费</w:t>
      </w:r>
      <w:r>
        <w:rPr>
          <w:rFonts w:hint="eastAsia" w:ascii="仿宋_GB2312" w:hAnsi="仿宋"/>
          <w:szCs w:val="32"/>
          <w:lang w:val="en-US" w:eastAsia="zh-CN"/>
        </w:rPr>
        <w:t>158.37</w:t>
      </w:r>
      <w:r>
        <w:rPr>
          <w:rFonts w:hint="eastAsia" w:ascii="仿宋_GB2312" w:hAnsi="仿宋"/>
          <w:szCs w:val="32"/>
        </w:rPr>
        <w:t>万元，主要包括:基本工资、津贴补贴、奖金、伙食补助费、绩效工资、机关事业单位基本养老保</w:t>
      </w:r>
      <w:r>
        <w:rPr>
          <w:rFonts w:hint="eastAsia" w:ascii="仿宋_GB2312" w:hAnsi="仿宋"/>
          <w:szCs w:val="32"/>
          <w:lang w:eastAsia="zh-CN"/>
        </w:rPr>
        <w:t>险缴费、</w:t>
      </w:r>
      <w:r>
        <w:rPr>
          <w:rFonts w:hint="eastAsia" w:ascii="仿宋_GB2312" w:hAnsi="仿宋"/>
          <w:szCs w:val="32"/>
        </w:rPr>
        <w:t>职业年金缴费、职工基本医疗保险缴费、公务员医疗补助缴费、其他社会保障缴费、住房公积金、退休费、医疗费补助</w:t>
      </w:r>
      <w:r>
        <w:rPr>
          <w:rFonts w:hint="eastAsia" w:ascii="仿宋_GB2312" w:hAnsi="仿宋"/>
          <w:szCs w:val="32"/>
          <w:lang w:eastAsia="zh-CN"/>
        </w:rPr>
        <w:t>、</w:t>
      </w:r>
      <w:r>
        <w:rPr>
          <w:rFonts w:hint="eastAsia" w:ascii="仿宋_GB2312" w:hAnsi="仿宋"/>
          <w:szCs w:val="32"/>
        </w:rPr>
        <w:t>奖励金</w:t>
      </w:r>
      <w:r>
        <w:rPr>
          <w:rFonts w:hint="eastAsia" w:ascii="仿宋_GB2312" w:hAnsi="仿宋"/>
          <w:szCs w:val="32"/>
          <w:lang w:eastAsia="zh-CN"/>
        </w:rPr>
        <w:t>、其他对个人和家庭的补助支出</w:t>
      </w:r>
      <w:r>
        <w:rPr>
          <w:rFonts w:hint="eastAsia" w:ascii="仿宋_GB2312" w:hAnsi="仿宋"/>
          <w:szCs w:val="32"/>
        </w:rPr>
        <w:t>；公用经费</w:t>
      </w:r>
      <w:r>
        <w:rPr>
          <w:rFonts w:hint="eastAsia" w:ascii="仿宋_GB2312" w:hAnsi="仿宋"/>
          <w:szCs w:val="32"/>
          <w:lang w:val="en-US" w:eastAsia="zh-CN"/>
        </w:rPr>
        <w:t>3.14</w:t>
      </w:r>
      <w:r>
        <w:rPr>
          <w:rFonts w:hint="eastAsia" w:ascii="仿宋_GB2312" w:hAnsi="仿宋"/>
          <w:szCs w:val="32"/>
        </w:rPr>
        <w:t>万元，主要包括：办公费、培训费、工会经费、福利费、</w:t>
      </w:r>
      <w:r>
        <w:rPr>
          <w:rFonts w:hint="eastAsia" w:ascii="仿宋_GB2312" w:hAnsi="仿宋"/>
          <w:szCs w:val="32"/>
          <w:lang w:eastAsia="zh-CN"/>
        </w:rPr>
        <w:t>其他商品和服务支出</w:t>
      </w:r>
      <w:r>
        <w:rPr>
          <w:rFonts w:hint="eastAsia" w:ascii="仿宋_GB2312" w:hAnsi="仿宋"/>
          <w:szCs w:val="32"/>
        </w:rPr>
        <w:t>等。</w:t>
      </w:r>
    </w:p>
    <w:p w14:paraId="2851206A">
      <w:pPr>
        <w:ind w:firstLine="640" w:firstLineChars="200"/>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政府性基金</w:t>
      </w:r>
      <w:r>
        <w:rPr>
          <w:rFonts w:hint="eastAsia" w:ascii="黑体" w:hAnsi="黑体" w:eastAsia="黑体"/>
          <w:szCs w:val="32"/>
          <w:lang w:eastAsia="zh-CN"/>
        </w:rPr>
        <w:t>预算</w:t>
      </w:r>
      <w:r>
        <w:rPr>
          <w:rFonts w:hint="eastAsia" w:ascii="黑体" w:hAnsi="黑体" w:eastAsia="黑体"/>
          <w:szCs w:val="32"/>
        </w:rPr>
        <w:t>财政拨款收入支出决算情况说明</w:t>
      </w:r>
    </w:p>
    <w:p w14:paraId="315AEB01">
      <w:pPr>
        <w:ind w:firstLine="640"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年度政府性基金预算财政拨款年初结转和结余</w:t>
      </w:r>
      <w:r>
        <w:rPr>
          <w:rFonts w:hint="eastAsia" w:ascii="仿宋_GB2312" w:hAnsi="仿宋"/>
          <w:szCs w:val="32"/>
          <w:lang w:val="en-US" w:eastAsia="zh-CN"/>
        </w:rPr>
        <w:t>0</w:t>
      </w:r>
      <w:r>
        <w:rPr>
          <w:rFonts w:hint="eastAsia" w:ascii="仿宋_GB2312" w:hAnsi="仿宋"/>
          <w:szCs w:val="32"/>
        </w:rPr>
        <w:t>万元，本年收入332.92万元，本年支出332.92万元，年末结转和结余</w:t>
      </w:r>
      <w:r>
        <w:rPr>
          <w:rFonts w:hint="eastAsia" w:ascii="仿宋_GB2312" w:hAnsi="仿宋"/>
          <w:szCs w:val="32"/>
          <w:lang w:val="en-US" w:eastAsia="zh-CN"/>
        </w:rPr>
        <w:t>0</w:t>
      </w:r>
      <w:r>
        <w:rPr>
          <w:rFonts w:hint="eastAsia" w:ascii="仿宋_GB2312" w:hAnsi="仿宋"/>
          <w:szCs w:val="32"/>
        </w:rPr>
        <w:t>万元。具体情况说明如下：</w:t>
      </w:r>
    </w:p>
    <w:p w14:paraId="339080A8">
      <w:pPr>
        <w:adjustRightInd w:val="0"/>
        <w:snapToGrid w:val="0"/>
        <w:spacing w:line="360" w:lineRule="auto"/>
        <w:ind w:firstLine="640" w:firstLineChars="200"/>
        <w:rPr>
          <w:rFonts w:hint="eastAsia" w:ascii="仿宋_GB2312" w:hAnsi="仿宋" w:eastAsia="仿宋_GB2312"/>
          <w:szCs w:val="32"/>
          <w:lang w:eastAsia="zh-CN"/>
        </w:rPr>
      </w:pPr>
      <w:r>
        <w:rPr>
          <w:rFonts w:hint="eastAsia" w:ascii="仿宋_GB2312" w:hAnsi="仿宋"/>
          <w:szCs w:val="32"/>
        </w:rPr>
        <w:t>1</w:t>
      </w:r>
      <w:r>
        <w:rPr>
          <w:rFonts w:hint="eastAsia" w:ascii="仿宋_GB2312" w:hAnsi="仿宋"/>
          <w:b/>
          <w:bCs/>
          <w:szCs w:val="32"/>
        </w:rPr>
        <w:t>.</w:t>
      </w:r>
      <w:r>
        <w:rPr>
          <w:rFonts w:hint="eastAsia" w:ascii="仿宋_GB2312" w:hAnsi="仿宋"/>
          <w:b/>
          <w:szCs w:val="32"/>
        </w:rPr>
        <w:t>城乡社区（类）国有土地使用权出让收入安排的支出（款）土地开发支出（项）。</w:t>
      </w:r>
      <w:r>
        <w:rPr>
          <w:rFonts w:hint="eastAsia" w:ascii="仿宋_GB2312" w:hAnsi="仿宋"/>
          <w:szCs w:val="32"/>
        </w:rPr>
        <w:t>年初预算为332.92万元，支出决算为332.92万元，完成年初预算的100%</w:t>
      </w:r>
      <w:r>
        <w:rPr>
          <w:rFonts w:hint="eastAsia" w:ascii="仿宋_GB2312" w:hAnsi="仿宋"/>
          <w:szCs w:val="32"/>
          <w:lang w:eastAsia="zh-CN"/>
        </w:rPr>
        <w:t>。</w:t>
      </w:r>
    </w:p>
    <w:p w14:paraId="35963336">
      <w:pPr>
        <w:ind w:firstLine="640" w:firstLineChars="200"/>
        <w:rPr>
          <w:rFonts w:hint="eastAsia" w:ascii="黑体" w:hAnsi="黑体" w:eastAsia="黑体"/>
          <w:szCs w:val="32"/>
        </w:rPr>
      </w:pPr>
      <w:r>
        <w:rPr>
          <w:rFonts w:hint="eastAsia" w:ascii="黑体" w:hAnsi="黑体" w:eastAsia="黑体"/>
          <w:szCs w:val="32"/>
        </w:rPr>
        <w:t>八、国有资本经营预算财政拨款支出情况说明</w:t>
      </w:r>
    </w:p>
    <w:p w14:paraId="157272D9">
      <w:pPr>
        <w:ind w:firstLine="640"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年度国有资本经营预算财政拨款年初结转和结余</w:t>
      </w:r>
      <w:r>
        <w:rPr>
          <w:rFonts w:hint="eastAsia" w:ascii="仿宋_GB2312" w:hAnsi="仿宋"/>
          <w:szCs w:val="32"/>
          <w:lang w:val="en-US" w:eastAsia="zh-CN"/>
        </w:rPr>
        <w:t>0</w:t>
      </w:r>
      <w:r>
        <w:rPr>
          <w:rFonts w:hint="eastAsia" w:ascii="仿宋_GB2312" w:hAnsi="仿宋"/>
          <w:szCs w:val="32"/>
        </w:rPr>
        <w:t>万元，本年收入</w:t>
      </w:r>
      <w:r>
        <w:rPr>
          <w:rFonts w:hint="eastAsia" w:ascii="仿宋_GB2312" w:hAnsi="仿宋"/>
          <w:szCs w:val="32"/>
          <w:lang w:val="en-US" w:eastAsia="zh-CN"/>
        </w:rPr>
        <w:t>0</w:t>
      </w:r>
      <w:r>
        <w:rPr>
          <w:rFonts w:hint="eastAsia" w:ascii="仿宋_GB2312" w:hAnsi="仿宋"/>
          <w:szCs w:val="32"/>
        </w:rPr>
        <w:t>万元，本年支出</w:t>
      </w:r>
      <w:r>
        <w:rPr>
          <w:rFonts w:hint="eastAsia" w:ascii="仿宋_GB2312" w:hAnsi="仿宋"/>
          <w:szCs w:val="32"/>
          <w:lang w:val="en-US" w:eastAsia="zh-CN"/>
        </w:rPr>
        <w:t>0</w:t>
      </w:r>
      <w:r>
        <w:rPr>
          <w:rFonts w:hint="eastAsia" w:ascii="仿宋_GB2312" w:hAnsi="仿宋"/>
          <w:szCs w:val="32"/>
        </w:rPr>
        <w:t>万元，年末结转和结余</w:t>
      </w:r>
      <w:r>
        <w:rPr>
          <w:rFonts w:hint="eastAsia" w:ascii="仿宋_GB2312" w:hAnsi="仿宋"/>
          <w:szCs w:val="32"/>
          <w:lang w:val="en-US" w:eastAsia="zh-CN"/>
        </w:rPr>
        <w:t>0</w:t>
      </w:r>
      <w:r>
        <w:rPr>
          <w:rFonts w:hint="eastAsia" w:ascii="仿宋_GB2312" w:hAnsi="仿宋"/>
          <w:szCs w:val="32"/>
        </w:rPr>
        <w:t>万元。淮北市城市建设档案馆</w:t>
      </w:r>
      <w:r>
        <w:rPr>
          <w:rFonts w:hint="eastAsia" w:ascii="仿宋_GB2312" w:hAnsi="仿宋" w:cs="Times New Roman"/>
          <w:szCs w:val="32"/>
        </w:rPr>
        <w:t>没有使用国有资本经营预算财政拨款安排的支出。</w:t>
      </w:r>
    </w:p>
    <w:p w14:paraId="63DFD91D">
      <w:pPr>
        <w:adjustRightInd w:val="0"/>
        <w:snapToGrid w:val="0"/>
        <w:spacing w:line="600" w:lineRule="exact"/>
        <w:ind w:firstLine="640" w:firstLineChars="200"/>
        <w:rPr>
          <w:rFonts w:hint="eastAsia" w:ascii="黑体" w:hAnsi="黑体" w:eastAsia="黑体"/>
          <w:szCs w:val="32"/>
        </w:rPr>
      </w:pPr>
      <w:r>
        <w:rPr>
          <w:rFonts w:hint="eastAsia" w:ascii="黑体" w:hAnsi="黑体" w:eastAsia="黑体"/>
          <w:szCs w:val="32"/>
        </w:rPr>
        <w:t>九、其他重要事项情况说明</w:t>
      </w:r>
    </w:p>
    <w:p w14:paraId="7F81269B">
      <w:pPr>
        <w:adjustRightInd w:val="0"/>
        <w:snapToGrid w:val="0"/>
        <w:spacing w:line="600" w:lineRule="exact"/>
        <w:ind w:firstLine="643" w:firstLineChars="200"/>
        <w:rPr>
          <w:rFonts w:hint="eastAsia" w:ascii="仿宋_GB2312" w:hAnsi="楷体"/>
          <w:b/>
          <w:szCs w:val="32"/>
        </w:rPr>
      </w:pPr>
      <w:r>
        <w:rPr>
          <w:rFonts w:hint="eastAsia" w:ascii="仿宋_GB2312" w:hAnsi="楷体"/>
          <w:b/>
          <w:szCs w:val="32"/>
        </w:rPr>
        <w:t>（一）机关运行经费支出情况。</w:t>
      </w:r>
    </w:p>
    <w:p w14:paraId="6C5747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szCs w:val="32"/>
        </w:rPr>
      </w:pPr>
      <w:r>
        <w:rPr>
          <w:rFonts w:hint="eastAsia" w:ascii="仿宋_GB2312" w:hAnsi="仿宋"/>
          <w:szCs w:val="32"/>
        </w:rPr>
        <w:t>淮北市城市建设档案馆</w:t>
      </w:r>
      <w:r>
        <w:rPr>
          <w:rFonts w:hint="eastAsia" w:ascii="仿宋_GB2312" w:hAnsi="仿宋" w:cs="Times New Roman"/>
          <w:szCs w:val="32"/>
        </w:rPr>
        <w:t>为事业单位，按照财政部部门决算机关运行经费的口径，本年度机关运行经费为0。</w:t>
      </w:r>
    </w:p>
    <w:p w14:paraId="4889ED47">
      <w:pPr>
        <w:adjustRightInd w:val="0"/>
        <w:snapToGrid w:val="0"/>
        <w:spacing w:line="600" w:lineRule="exact"/>
        <w:ind w:firstLine="643" w:firstLineChars="200"/>
        <w:rPr>
          <w:rFonts w:hint="eastAsia" w:ascii="仿宋_GB2312" w:hAnsi="楷体"/>
          <w:b/>
          <w:szCs w:val="32"/>
        </w:rPr>
      </w:pPr>
      <w:r>
        <w:rPr>
          <w:rFonts w:hint="eastAsia" w:ascii="仿宋_GB2312" w:hAnsi="楷体"/>
          <w:b/>
          <w:szCs w:val="32"/>
        </w:rPr>
        <w:t>（二）政府采购支出情况。</w:t>
      </w:r>
    </w:p>
    <w:p w14:paraId="2BC9006C">
      <w:pPr>
        <w:spacing w:beforeLines="0" w:afterLines="0"/>
        <w:jc w:val="left"/>
        <w:rPr>
          <w:rFonts w:hint="eastAsia" w:ascii="仿宋_GB2312" w:hAnsi="仿宋"/>
          <w:color w:val="FF0000"/>
          <w:szCs w:val="32"/>
        </w:rPr>
      </w:pPr>
      <w:r>
        <w:rPr>
          <w:rFonts w:hint="eastAsia" w:ascii="仿宋_GB2312" w:hAnsi="仿宋"/>
          <w:szCs w:val="32"/>
          <w:lang w:val="en-US" w:eastAsia="zh-CN"/>
        </w:rPr>
        <w:t xml:space="preserve">    </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年度，淮北市</w:t>
      </w:r>
      <w:r>
        <w:rPr>
          <w:rFonts w:hint="eastAsia" w:ascii="仿宋_GB2312" w:hAnsi="仿宋"/>
          <w:szCs w:val="32"/>
          <w:lang w:eastAsia="zh-CN"/>
        </w:rPr>
        <w:t>城市建设档案馆</w:t>
      </w:r>
      <w:r>
        <w:rPr>
          <w:rFonts w:hint="eastAsia" w:ascii="仿宋_GB2312" w:hAnsi="仿宋"/>
          <w:szCs w:val="32"/>
        </w:rPr>
        <w:t>政府采购支出总额</w:t>
      </w:r>
      <w:r>
        <w:rPr>
          <w:rFonts w:hint="eastAsia" w:ascii="仿宋_GB2312" w:hAnsi="仿宋"/>
          <w:szCs w:val="32"/>
          <w:lang w:val="en-US" w:eastAsia="zh-CN"/>
        </w:rPr>
        <w:t>681.05</w:t>
      </w:r>
      <w:r>
        <w:rPr>
          <w:rFonts w:hint="eastAsia" w:ascii="仿宋_GB2312" w:hAnsi="仿宋"/>
          <w:szCs w:val="32"/>
        </w:rPr>
        <w:t>万元，其中：政府采购货物支出</w:t>
      </w:r>
      <w:r>
        <w:rPr>
          <w:rFonts w:hint="eastAsia" w:ascii="仿宋_GB2312" w:hAnsi="仿宋"/>
          <w:szCs w:val="32"/>
          <w:lang w:val="en-US" w:eastAsia="zh-CN"/>
        </w:rPr>
        <w:t>72.66</w:t>
      </w:r>
      <w:r>
        <w:rPr>
          <w:rFonts w:hint="eastAsia" w:ascii="仿宋_GB2312" w:hAnsi="仿宋"/>
          <w:szCs w:val="32"/>
        </w:rPr>
        <w:t>万元</w:t>
      </w:r>
      <w:r>
        <w:rPr>
          <w:rFonts w:hint="eastAsia" w:ascii="仿宋_GB2312" w:hAnsi="仿宋"/>
          <w:color w:val="auto"/>
          <w:szCs w:val="32"/>
        </w:rPr>
        <w:t>、</w:t>
      </w:r>
      <w:r>
        <w:rPr>
          <w:rFonts w:hint="eastAsia" w:ascii="仿宋_GB2312" w:hAnsi="仿宋"/>
          <w:szCs w:val="32"/>
        </w:rPr>
        <w:t>政府采购工程支出</w:t>
      </w:r>
      <w:r>
        <w:rPr>
          <w:rFonts w:hint="eastAsia" w:ascii="仿宋_GB2312" w:hAnsi="仿宋"/>
          <w:szCs w:val="32"/>
          <w:lang w:val="en-US" w:eastAsia="zh-CN"/>
        </w:rPr>
        <w:t>580.27</w:t>
      </w:r>
      <w:r>
        <w:rPr>
          <w:rFonts w:hint="eastAsia" w:ascii="仿宋_GB2312" w:hAnsi="仿宋"/>
          <w:szCs w:val="32"/>
        </w:rPr>
        <w:t>万元、政府采购服务支出</w:t>
      </w:r>
      <w:r>
        <w:rPr>
          <w:rFonts w:hint="eastAsia" w:ascii="仿宋_GB2312" w:hAnsi="仿宋"/>
          <w:szCs w:val="32"/>
          <w:lang w:val="en-US" w:eastAsia="zh-CN"/>
        </w:rPr>
        <w:t>28.12</w:t>
      </w:r>
      <w:r>
        <w:rPr>
          <w:rFonts w:hint="eastAsia" w:ascii="仿宋_GB2312" w:hAnsi="仿宋"/>
          <w:szCs w:val="32"/>
        </w:rPr>
        <w:t>万元。授予中小企业合同金额</w:t>
      </w:r>
      <w:r>
        <w:rPr>
          <w:rFonts w:hint="eastAsia" w:ascii="仿宋_GB2312" w:hAnsi="仿宋"/>
          <w:szCs w:val="32"/>
          <w:lang w:val="en-US" w:eastAsia="zh-CN"/>
        </w:rPr>
        <w:t>667.06</w:t>
      </w:r>
      <w:r>
        <w:rPr>
          <w:rFonts w:hint="eastAsia" w:ascii="仿宋_GB2312" w:hAnsi="仿宋"/>
          <w:szCs w:val="32"/>
        </w:rPr>
        <w:t>万元，占政府采购支出总额的</w:t>
      </w:r>
      <w:r>
        <w:rPr>
          <w:rFonts w:hint="eastAsia" w:ascii="仿宋_GB2312" w:hAnsi="仿宋"/>
          <w:szCs w:val="32"/>
          <w:lang w:val="en-US" w:eastAsia="zh-CN"/>
        </w:rPr>
        <w:t>97.95</w:t>
      </w:r>
      <w:r>
        <w:rPr>
          <w:rFonts w:hint="eastAsia" w:ascii="仿宋_GB2312" w:hAnsi="仿宋"/>
          <w:szCs w:val="32"/>
        </w:rPr>
        <w:t>%，其中：</w:t>
      </w:r>
      <w:r>
        <w:rPr>
          <w:rFonts w:hint="eastAsia" w:ascii="仿宋" w:hAnsi="仿宋" w:eastAsia="仿宋"/>
          <w:sz w:val="32"/>
        </w:rPr>
        <w:t>授予小微企业合同金额</w:t>
      </w:r>
      <w:r>
        <w:rPr>
          <w:rFonts w:hint="eastAsia" w:ascii="仿宋" w:hAnsi="仿宋" w:eastAsia="仿宋"/>
          <w:sz w:val="32"/>
          <w:lang w:val="en-US" w:eastAsia="zh-CN"/>
        </w:rPr>
        <w:t>86.79</w:t>
      </w:r>
      <w:r>
        <w:rPr>
          <w:rFonts w:hint="eastAsia" w:ascii="仿宋" w:hAnsi="仿宋" w:eastAsia="仿宋"/>
          <w:sz w:val="32"/>
        </w:rPr>
        <w:t xml:space="preserve"> 万元，</w:t>
      </w:r>
      <w:r>
        <w:rPr>
          <w:rFonts w:hint="eastAsia" w:ascii="仿宋_GB2312" w:hAnsi="仿宋"/>
          <w:szCs w:val="32"/>
        </w:rPr>
        <w:t>占授予中小企业合同金额的</w:t>
      </w:r>
      <w:r>
        <w:rPr>
          <w:rFonts w:hint="eastAsia" w:ascii="仿宋_GB2312" w:hAnsi="仿宋"/>
          <w:szCs w:val="32"/>
          <w:lang w:val="en-US" w:eastAsia="zh-CN"/>
        </w:rPr>
        <w:t>13.01</w:t>
      </w:r>
      <w:r>
        <w:rPr>
          <w:rFonts w:hint="eastAsia" w:ascii="仿宋_GB2312" w:hAnsi="仿宋"/>
          <w:szCs w:val="32"/>
        </w:rPr>
        <w:t>%；货物采购授予中小企业合同金额占货物支出金额的</w:t>
      </w:r>
      <w:r>
        <w:rPr>
          <w:rFonts w:hint="eastAsia" w:ascii="仿宋_GB2312" w:hAnsi="仿宋"/>
          <w:szCs w:val="32"/>
          <w:lang w:val="en-US" w:eastAsia="zh-CN"/>
        </w:rPr>
        <w:t>80.75</w:t>
      </w:r>
      <w:r>
        <w:rPr>
          <w:rFonts w:hint="eastAsia" w:ascii="仿宋_GB2312" w:hAnsi="仿宋"/>
          <w:szCs w:val="32"/>
        </w:rPr>
        <w:t>%，工程采购授予中小企业合同金额占工程支出金额的</w:t>
      </w:r>
      <w:r>
        <w:rPr>
          <w:rFonts w:hint="eastAsia" w:ascii="仿宋_GB2312" w:hAnsi="仿宋"/>
          <w:szCs w:val="32"/>
          <w:lang w:val="en-US" w:eastAsia="zh-CN"/>
        </w:rPr>
        <w:t>100</w:t>
      </w:r>
      <w:r>
        <w:rPr>
          <w:rFonts w:hint="eastAsia" w:ascii="仿宋_GB2312" w:hAnsi="仿宋"/>
          <w:szCs w:val="32"/>
        </w:rPr>
        <w:t>%，服务采购授予中小企业合同金额占服务支出金额的</w:t>
      </w:r>
      <w:r>
        <w:rPr>
          <w:rFonts w:hint="eastAsia" w:ascii="仿宋_GB2312" w:hAnsi="仿宋"/>
          <w:szCs w:val="32"/>
          <w:lang w:val="en-US" w:eastAsia="zh-CN"/>
        </w:rPr>
        <w:t>100</w:t>
      </w:r>
      <w:r>
        <w:rPr>
          <w:rFonts w:hint="eastAsia" w:ascii="仿宋_GB2312" w:hAnsi="仿宋"/>
          <w:szCs w:val="32"/>
        </w:rPr>
        <w:t>%。</w:t>
      </w:r>
    </w:p>
    <w:p w14:paraId="33C6F545">
      <w:pPr>
        <w:adjustRightInd w:val="0"/>
        <w:snapToGrid w:val="0"/>
        <w:spacing w:line="600" w:lineRule="exact"/>
        <w:ind w:firstLine="643" w:firstLineChars="200"/>
        <w:rPr>
          <w:rFonts w:hint="eastAsia" w:ascii="仿宋_GB2312" w:hAnsi="楷体"/>
          <w:b/>
          <w:szCs w:val="32"/>
        </w:rPr>
      </w:pPr>
      <w:r>
        <w:rPr>
          <w:rFonts w:hint="eastAsia" w:ascii="仿宋_GB2312" w:hAnsi="楷体"/>
          <w:b/>
          <w:szCs w:val="32"/>
        </w:rPr>
        <w:t>（三）国有资产占有使用情况。</w:t>
      </w:r>
    </w:p>
    <w:p w14:paraId="7FD8FB5A">
      <w:pPr>
        <w:adjustRightInd w:val="0"/>
        <w:snapToGrid w:val="0"/>
        <w:spacing w:line="600" w:lineRule="exact"/>
        <w:ind w:firstLine="640" w:firstLineChars="200"/>
        <w:rPr>
          <w:rFonts w:hint="eastAsia" w:ascii="仿宋_GB2312" w:hAnsi="楷体"/>
          <w:b/>
          <w:szCs w:val="32"/>
        </w:rPr>
      </w:pPr>
      <w:r>
        <w:rPr>
          <w:rFonts w:hint="eastAsia" w:ascii="仿宋_GB2312" w:hAnsi="楷体"/>
          <w:szCs w:val="32"/>
        </w:rPr>
        <w:t>截至</w:t>
      </w:r>
      <w:r>
        <w:rPr>
          <w:rFonts w:hint="eastAsia" w:ascii="仿宋_GB2312" w:hAnsi="楷体"/>
          <w:szCs w:val="32"/>
          <w:lang w:eastAsia="zh-CN"/>
        </w:rPr>
        <w:t>202</w:t>
      </w:r>
      <w:r>
        <w:rPr>
          <w:rFonts w:hint="eastAsia" w:ascii="仿宋_GB2312" w:hAnsi="楷体"/>
          <w:szCs w:val="32"/>
          <w:lang w:val="en-US" w:eastAsia="zh-CN"/>
        </w:rPr>
        <w:t>3</w:t>
      </w:r>
      <w:r>
        <w:rPr>
          <w:rFonts w:hint="eastAsia" w:ascii="仿宋_GB2312" w:hAnsi="楷体"/>
          <w:szCs w:val="32"/>
        </w:rPr>
        <w:t>年12月31日，淮北市</w:t>
      </w:r>
      <w:r>
        <w:rPr>
          <w:rFonts w:hint="eastAsia" w:ascii="仿宋_GB2312" w:hAnsi="仿宋"/>
          <w:szCs w:val="32"/>
          <w:lang w:eastAsia="zh-CN"/>
        </w:rPr>
        <w:t>城市建设</w:t>
      </w:r>
      <w:r>
        <w:rPr>
          <w:rFonts w:hint="eastAsia" w:ascii="仿宋_GB2312" w:hAnsi="仿宋"/>
          <w:szCs w:val="32"/>
        </w:rPr>
        <w:t>共有车辆</w:t>
      </w:r>
      <w:r>
        <w:rPr>
          <w:rFonts w:hint="eastAsia" w:ascii="仿宋_GB2312" w:hAnsi="仿宋"/>
          <w:szCs w:val="32"/>
          <w:lang w:val="en-US" w:eastAsia="zh-CN"/>
        </w:rPr>
        <w:t>1</w:t>
      </w:r>
      <w:r>
        <w:rPr>
          <w:rFonts w:hint="eastAsia" w:ascii="仿宋_GB2312" w:hAnsi="仿宋"/>
          <w:szCs w:val="32"/>
        </w:rPr>
        <w:t>辆，其中</w:t>
      </w:r>
      <w:r>
        <w:rPr>
          <w:rFonts w:hint="eastAsia" w:ascii="仿宋_GB2312" w:hAnsi="仿宋"/>
          <w:szCs w:val="32"/>
          <w:lang w:eastAsia="zh-CN"/>
        </w:rPr>
        <w:t>：</w:t>
      </w:r>
      <w:r>
        <w:rPr>
          <w:rFonts w:hint="eastAsia" w:ascii="仿宋_GB2312" w:hAnsi="仿宋"/>
          <w:szCs w:val="32"/>
        </w:rPr>
        <w:t>其他用车</w:t>
      </w:r>
      <w:r>
        <w:rPr>
          <w:rFonts w:hint="eastAsia" w:ascii="仿宋_GB2312" w:hAnsi="仿宋"/>
          <w:szCs w:val="32"/>
          <w:lang w:val="en-US" w:eastAsia="zh-CN"/>
        </w:rPr>
        <w:t>1</w:t>
      </w:r>
      <w:r>
        <w:rPr>
          <w:rFonts w:hint="eastAsia" w:ascii="仿宋_GB2312" w:hAnsi="仿宋"/>
          <w:szCs w:val="32"/>
        </w:rPr>
        <w:t>辆；单价100万元</w:t>
      </w:r>
      <w:r>
        <w:rPr>
          <w:rFonts w:hint="eastAsia" w:ascii="仿宋_GB2312" w:hAnsi="仿宋"/>
          <w:szCs w:val="32"/>
          <w:lang w:eastAsia="zh-CN"/>
        </w:rPr>
        <w:t>（含）</w:t>
      </w:r>
      <w:r>
        <w:rPr>
          <w:rFonts w:hint="eastAsia" w:ascii="仿宋_GB2312" w:hAnsi="仿宋"/>
          <w:szCs w:val="32"/>
        </w:rPr>
        <w:t>以上设备</w:t>
      </w:r>
      <w:r>
        <w:rPr>
          <w:rFonts w:hint="eastAsia" w:ascii="仿宋_GB2312" w:hAnsi="仿宋"/>
          <w:szCs w:val="32"/>
          <w:lang w:eastAsia="zh-CN"/>
        </w:rPr>
        <w:t>（不含车辆）</w:t>
      </w:r>
      <w:r>
        <w:rPr>
          <w:rFonts w:hint="eastAsia" w:ascii="仿宋_GB2312" w:hAnsi="仿宋"/>
          <w:szCs w:val="32"/>
          <w:lang w:val="en-US" w:eastAsia="zh-CN"/>
        </w:rPr>
        <w:t>0</w:t>
      </w:r>
      <w:r>
        <w:rPr>
          <w:rFonts w:hint="eastAsia" w:ascii="仿宋_GB2312" w:hAnsi="仿宋"/>
          <w:szCs w:val="32"/>
        </w:rPr>
        <w:t>台（套）。</w:t>
      </w:r>
      <w:r>
        <w:rPr>
          <w:rFonts w:hint="eastAsia" w:ascii="仿宋_GB2312" w:hAnsi="仿宋"/>
          <w:szCs w:val="32"/>
        </w:rPr>
        <w:br w:type="textWrapping"/>
      </w: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楷体"/>
          <w:b/>
          <w:szCs w:val="32"/>
        </w:rPr>
        <w:t>（四）关于</w:t>
      </w:r>
      <w:r>
        <w:rPr>
          <w:rFonts w:hint="eastAsia" w:ascii="仿宋_GB2312" w:hAnsi="楷体"/>
          <w:b/>
          <w:szCs w:val="32"/>
          <w:lang w:eastAsia="zh-CN"/>
        </w:rPr>
        <w:t>202</w:t>
      </w:r>
      <w:r>
        <w:rPr>
          <w:rFonts w:hint="eastAsia" w:ascii="仿宋_GB2312" w:hAnsi="楷体"/>
          <w:b/>
          <w:szCs w:val="32"/>
          <w:lang w:val="en-US" w:eastAsia="zh-CN"/>
        </w:rPr>
        <w:t>3</w:t>
      </w:r>
      <w:r>
        <w:rPr>
          <w:rFonts w:hint="eastAsia" w:ascii="仿宋_GB2312" w:hAnsi="楷体"/>
          <w:b/>
          <w:szCs w:val="32"/>
        </w:rPr>
        <w:t>年度绩效</w:t>
      </w:r>
      <w:r>
        <w:rPr>
          <w:rFonts w:hint="eastAsia" w:ascii="仿宋_GB2312" w:hAnsi="楷体"/>
          <w:b/>
          <w:szCs w:val="32"/>
          <w:lang w:eastAsia="zh-CN"/>
        </w:rPr>
        <w:t>评价</w:t>
      </w:r>
      <w:r>
        <w:rPr>
          <w:rFonts w:hint="eastAsia" w:ascii="仿宋_GB2312" w:hAnsi="楷体"/>
          <w:b/>
          <w:szCs w:val="32"/>
        </w:rPr>
        <w:t>情况</w:t>
      </w:r>
      <w:r>
        <w:rPr>
          <w:rFonts w:hint="eastAsia" w:ascii="仿宋_GB2312" w:hAnsi="楷体"/>
          <w:b/>
          <w:szCs w:val="32"/>
          <w:lang w:eastAsia="zh-CN"/>
        </w:rPr>
        <w:t>的</w:t>
      </w:r>
      <w:r>
        <w:rPr>
          <w:rFonts w:hint="eastAsia" w:ascii="仿宋_GB2312" w:hAnsi="楷体"/>
          <w:b/>
          <w:szCs w:val="32"/>
        </w:rPr>
        <w:t>说明</w:t>
      </w:r>
    </w:p>
    <w:p w14:paraId="384542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sz w:val="32"/>
          <w:szCs w:val="32"/>
        </w:rPr>
      </w:pPr>
      <w:r>
        <w:rPr>
          <w:rFonts w:hint="eastAsia" w:ascii="楷体" w:hAnsi="楷体" w:eastAsia="楷体" w:cs="楷体"/>
          <w:b/>
          <w:bCs/>
          <w:sz w:val="32"/>
          <w:szCs w:val="32"/>
          <w:lang w:val="en-US" w:eastAsia="zh-CN"/>
        </w:rPr>
        <w:t>（1）绩效评价工作开展情况。</w:t>
      </w:r>
    </w:p>
    <w:p w14:paraId="48242CF2">
      <w:pPr>
        <w:spacing w:line="560" w:lineRule="exact"/>
        <w:ind w:firstLine="640" w:firstLineChars="200"/>
        <w:rPr>
          <w:rFonts w:ascii="仿宋" w:hAnsi="仿宋" w:eastAsia="仿宋" w:cs="仿宋"/>
          <w:szCs w:val="32"/>
        </w:rPr>
      </w:pPr>
      <w:r>
        <w:rPr>
          <w:rFonts w:hint="eastAsia" w:ascii="仿宋_GB2312" w:hAnsi="仿宋_GB2312" w:cs="仿宋_GB2312"/>
          <w:szCs w:val="32"/>
        </w:rPr>
        <w:t>根据预算绩效管理要求，我单位对202</w:t>
      </w:r>
      <w:r>
        <w:rPr>
          <w:rFonts w:hint="eastAsia" w:ascii="仿宋_GB2312" w:hAnsi="仿宋_GB2312" w:cs="仿宋_GB2312"/>
          <w:szCs w:val="32"/>
          <w:lang w:val="en-US" w:eastAsia="zh-CN"/>
        </w:rPr>
        <w:t>3</w:t>
      </w:r>
      <w:r>
        <w:rPr>
          <w:rFonts w:hint="eastAsia" w:ascii="仿宋_GB2312" w:hAnsi="仿宋_GB2312" w:cs="仿宋_GB2312"/>
          <w:szCs w:val="32"/>
        </w:rPr>
        <w:t>年度纳入单位预算的项目支出全面开展了绩效自评，共</w:t>
      </w:r>
      <w:r>
        <w:rPr>
          <w:rFonts w:hint="eastAsia" w:ascii="仿宋_GB2312" w:hAnsi="仿宋_GB2312" w:cs="仿宋_GB2312"/>
          <w:szCs w:val="32"/>
          <w:lang w:val="en-US" w:eastAsia="zh-CN"/>
        </w:rPr>
        <w:t>4</w:t>
      </w:r>
      <w:r>
        <w:rPr>
          <w:rFonts w:hint="eastAsia" w:ascii="仿宋_GB2312" w:hAnsi="仿宋_GB2312" w:cs="仿宋_GB2312"/>
          <w:szCs w:val="32"/>
        </w:rPr>
        <w:t>个项目，涉及资金</w:t>
      </w:r>
      <w:r>
        <w:rPr>
          <w:rFonts w:hint="eastAsia" w:ascii="仿宋_GB2312" w:hAnsi="仿宋_GB2312" w:cs="仿宋_GB2312"/>
          <w:szCs w:val="32"/>
          <w:lang w:val="en-US" w:eastAsia="zh-CN"/>
        </w:rPr>
        <w:t>122</w:t>
      </w:r>
      <w:r>
        <w:rPr>
          <w:rFonts w:hint="eastAsia" w:ascii="仿宋_GB2312" w:hAnsi="仿宋_GB2312" w:cs="仿宋_GB2312"/>
          <w:szCs w:val="32"/>
        </w:rPr>
        <w:t>万元。从评价情况看，</w:t>
      </w:r>
      <w:r>
        <w:rPr>
          <w:rFonts w:hint="eastAsia" w:ascii="仿宋" w:hAnsi="仿宋" w:eastAsia="仿宋" w:cs="仿宋"/>
          <w:szCs w:val="32"/>
        </w:rPr>
        <w:t>从评价</w:t>
      </w:r>
      <w:r>
        <w:rPr>
          <w:rFonts w:hint="eastAsia" w:ascii="仿宋_GB2312" w:hAnsi="仿宋_GB2312" w:cs="仿宋_GB2312"/>
          <w:szCs w:val="32"/>
        </w:rPr>
        <w:t>情况看，都较好地实现了预期绩效目标，总体组织管理有序、执行有效，取得了较好的社会效益和经济效益</w:t>
      </w:r>
      <w:r>
        <w:rPr>
          <w:rFonts w:hint="eastAsia" w:ascii="仿宋" w:hAnsi="仿宋" w:eastAsia="仿宋" w:cs="仿宋"/>
          <w:bCs/>
          <w:szCs w:val="32"/>
        </w:rPr>
        <w:t>。</w:t>
      </w:r>
    </w:p>
    <w:p w14:paraId="65949F0F">
      <w:pPr>
        <w:spacing w:line="560" w:lineRule="exact"/>
        <w:ind w:firstLine="640" w:firstLineChars="200"/>
        <w:rPr>
          <w:rFonts w:hint="eastAsia" w:ascii="仿宋" w:hAnsi="仿宋" w:eastAsia="仿宋" w:cs="仿宋"/>
          <w:sz w:val="32"/>
          <w:szCs w:val="32"/>
        </w:rPr>
      </w:pPr>
      <w:r>
        <w:rPr>
          <w:rFonts w:hint="eastAsia" w:ascii="仿宋_GB2312" w:hAnsi="仿宋_GB2312" w:cs="仿宋_GB2312"/>
          <w:bCs/>
          <w:szCs w:val="32"/>
        </w:rPr>
        <w:t>组织对202</w:t>
      </w:r>
      <w:r>
        <w:rPr>
          <w:rFonts w:hint="eastAsia" w:ascii="仿宋_GB2312" w:hAnsi="仿宋_GB2312" w:cs="仿宋_GB2312"/>
          <w:bCs/>
          <w:szCs w:val="32"/>
          <w:lang w:val="en-US" w:eastAsia="zh-CN"/>
        </w:rPr>
        <w:t>3</w:t>
      </w:r>
      <w:r>
        <w:rPr>
          <w:rFonts w:hint="eastAsia" w:ascii="仿宋_GB2312" w:hAnsi="仿宋_GB2312" w:cs="仿宋_GB2312"/>
          <w:bCs/>
          <w:szCs w:val="32"/>
        </w:rPr>
        <w:t>年度部门整体支出开展了绩效自评。评价结果显示，</w:t>
      </w:r>
      <w:r>
        <w:rPr>
          <w:rFonts w:hint="eastAsia" w:ascii="仿宋_GB2312" w:hAnsi="仿宋_GB2312" w:cs="仿宋_GB2312"/>
          <w:szCs w:val="32"/>
        </w:rPr>
        <w:t>本单位圆满完成预期目标，取得了较好的经济和社会评价</w:t>
      </w:r>
      <w:r>
        <w:rPr>
          <w:rFonts w:hint="eastAsia" w:ascii="仿宋_GB2312" w:hAnsi="仿宋_GB2312" w:cs="仿宋_GB2312"/>
          <w:bCs/>
          <w:szCs w:val="32"/>
        </w:rPr>
        <w:t>。</w:t>
      </w:r>
    </w:p>
    <w:p w14:paraId="11474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eastAsia" w:ascii="楷体" w:hAnsi="楷体" w:eastAsia="楷体" w:cs="楷体"/>
          <w:bCs/>
          <w:sz w:val="32"/>
          <w:szCs w:val="32"/>
          <w:lang w:eastAsia="zh-CN"/>
        </w:rPr>
      </w:pPr>
      <w:r>
        <w:rPr>
          <w:rFonts w:hint="eastAsia" w:ascii="楷体" w:hAnsi="楷体" w:eastAsia="楷体" w:cs="楷体"/>
          <w:b/>
          <w:bCs/>
          <w:sz w:val="32"/>
          <w:szCs w:val="32"/>
          <w:lang w:val="en-US" w:eastAsia="zh-CN"/>
        </w:rPr>
        <w:t>（</w:t>
      </w:r>
      <w:r>
        <w:rPr>
          <w:rFonts w:hint="default" w:ascii="楷体" w:hAnsi="楷体" w:eastAsia="楷体" w:cs="楷体"/>
          <w:b/>
          <w:bCs/>
          <w:sz w:val="32"/>
          <w:szCs w:val="32"/>
          <w:lang w:val="en" w:eastAsia="zh-CN"/>
        </w:rPr>
        <w:t>2</w:t>
      </w:r>
      <w:r>
        <w:rPr>
          <w:rFonts w:hint="eastAsia" w:ascii="楷体" w:hAnsi="楷体" w:eastAsia="楷体" w:cs="楷体"/>
          <w:b/>
          <w:bCs/>
          <w:sz w:val="32"/>
          <w:szCs w:val="32"/>
          <w:lang w:val="en" w:eastAsia="zh-CN"/>
        </w:rPr>
        <w:t>）</w:t>
      </w:r>
      <w:r>
        <w:rPr>
          <w:rFonts w:hint="eastAsia" w:ascii="楷体" w:hAnsi="楷体" w:eastAsia="楷体" w:cs="楷体"/>
          <w:b/>
          <w:bCs/>
          <w:sz w:val="32"/>
          <w:szCs w:val="32"/>
          <w:lang w:val="en-US" w:eastAsia="zh-CN"/>
        </w:rPr>
        <w:t>单</w:t>
      </w:r>
      <w:r>
        <w:rPr>
          <w:rFonts w:hint="eastAsia" w:ascii="仿宋_GB2312" w:hAnsi="仿宋_GB2312" w:eastAsia="仿宋_GB2312" w:cs="仿宋_GB2312"/>
          <w:b/>
          <w:bCs/>
          <w:sz w:val="32"/>
          <w:szCs w:val="32"/>
          <w:lang w:eastAsia="zh-CN"/>
        </w:rPr>
        <w:t>位</w:t>
      </w:r>
      <w:r>
        <w:rPr>
          <w:rFonts w:hint="eastAsia" w:ascii="仿宋_GB2312" w:hAnsi="仿宋_GB2312" w:eastAsia="仿宋_GB2312" w:cs="仿宋_GB2312"/>
          <w:b/>
          <w:bCs/>
          <w:sz w:val="32"/>
          <w:szCs w:val="32"/>
        </w:rPr>
        <w:t>决算中项目绩效自评结果。</w:t>
      </w:r>
    </w:p>
    <w:p w14:paraId="130D2BB0">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我单位在202</w:t>
      </w:r>
      <w:r>
        <w:rPr>
          <w:rFonts w:hint="eastAsia" w:ascii="仿宋_GB2312" w:hAnsi="仿宋_GB2312" w:cs="仿宋_GB2312"/>
          <w:bCs/>
          <w:szCs w:val="32"/>
          <w:lang w:val="en-US" w:eastAsia="zh-CN"/>
        </w:rPr>
        <w:t>3</w:t>
      </w:r>
      <w:r>
        <w:rPr>
          <w:rFonts w:hint="eastAsia" w:ascii="仿宋_GB2312" w:hAnsi="仿宋_GB2312" w:cs="仿宋_GB2312"/>
          <w:bCs/>
          <w:szCs w:val="32"/>
        </w:rPr>
        <w:t>年度部门决算中反映“</w:t>
      </w:r>
      <w:r>
        <w:rPr>
          <w:rFonts w:hint="eastAsia" w:ascii="方正仿宋_GB2312" w:hAnsi="方正仿宋_GB2312" w:eastAsia="方正仿宋_GB2312" w:cs="方正仿宋_GB2312"/>
          <w:kern w:val="0"/>
          <w:szCs w:val="32"/>
        </w:rPr>
        <w:t>地下管线信息系统管理与维护经费</w:t>
      </w:r>
      <w:r>
        <w:rPr>
          <w:rFonts w:hint="eastAsia" w:ascii="宋体" w:hAnsi="宋体" w:eastAsia="宋体" w:cs="宋体"/>
          <w:kern w:val="0"/>
          <w:sz w:val="18"/>
          <w:szCs w:val="18"/>
        </w:rPr>
        <w:t xml:space="preserve"> </w:t>
      </w:r>
      <w:r>
        <w:rPr>
          <w:rFonts w:hint="eastAsia" w:ascii="仿宋_GB2312" w:hAnsi="仿宋_GB2312" w:cs="仿宋_GB2312"/>
          <w:bCs/>
          <w:szCs w:val="32"/>
        </w:rPr>
        <w:t>”项目绩效自评综述和所有项目支出绩效自评表。</w:t>
      </w:r>
    </w:p>
    <w:p w14:paraId="40CE57D3">
      <w:pPr>
        <w:spacing w:line="560" w:lineRule="exact"/>
        <w:ind w:firstLine="640" w:firstLineChars="200"/>
        <w:rPr>
          <w:rFonts w:ascii="仿宋_GB2312" w:hAnsi="仿宋_GB2312" w:cs="仿宋_GB2312"/>
          <w:szCs w:val="32"/>
        </w:rPr>
      </w:pPr>
      <w:r>
        <w:rPr>
          <w:rFonts w:hint="eastAsia" w:ascii="方正仿宋_GB2312" w:hAnsi="方正仿宋_GB2312" w:eastAsia="方正仿宋_GB2312" w:cs="方正仿宋_GB2312"/>
          <w:kern w:val="0"/>
          <w:szCs w:val="32"/>
        </w:rPr>
        <w:t>地下管线信息系统管理与维护经费</w:t>
      </w:r>
      <w:r>
        <w:rPr>
          <w:rFonts w:hint="eastAsia" w:ascii="仿宋_GB2312" w:hAnsi="仿宋_GB2312" w:cs="仿宋_GB2312"/>
          <w:bCs/>
          <w:szCs w:val="32"/>
        </w:rPr>
        <w:t>项目绩效自评综述：根据年初设定的绩效目标，项目绩效自评得分为100分。全年预算数为5万元，执行数为5万元，完成预算的100%。</w:t>
      </w:r>
      <w:r>
        <w:rPr>
          <w:rFonts w:hint="eastAsia" w:ascii="仿宋_GB2312" w:hAnsi="仿宋_GB2312" w:cs="仿宋_GB2312"/>
          <w:szCs w:val="32"/>
        </w:rPr>
        <w:t>项目绩效目标完成情况：</w:t>
      </w:r>
      <w:r>
        <w:rPr>
          <w:rFonts w:hint="eastAsia" w:ascii="仿宋_GB2312" w:hAnsi="仿宋_GB2312" w:cs="仿宋_GB2312"/>
          <w:bCs/>
          <w:szCs w:val="32"/>
        </w:rPr>
        <w:t>通过项目实施，做好了</w:t>
      </w:r>
      <w:r>
        <w:rPr>
          <w:rFonts w:hint="eastAsia" w:ascii="仿宋_GB2312" w:hAnsi="仿宋_GB2312" w:cs="仿宋_GB2312"/>
          <w:color w:val="333333"/>
          <w:szCs w:val="32"/>
          <w:shd w:val="clear" w:color="auto" w:fill="FFFFFF"/>
        </w:rPr>
        <w:t>地下管线数据平台维护管理，</w:t>
      </w:r>
      <w:r>
        <w:rPr>
          <w:rFonts w:hint="eastAsia" w:ascii="仿宋_GB2312" w:hAnsi="仿宋_GB2312" w:cs="仿宋_GB2312"/>
          <w:szCs w:val="32"/>
        </w:rPr>
        <w:t>对地下管线信息管理平台软硬件设施设备进行更新及维护，不断更新数据，我淮北市城市规划和发展做好数据支撑。发现的主要问题及原因：无。下一步改进措施：</w:t>
      </w:r>
      <w:r>
        <w:rPr>
          <w:rFonts w:hint="eastAsia" w:ascii="仿宋_GB2312" w:hAnsi="仿宋_GB2312" w:cs="仿宋_GB2312"/>
          <w:bCs/>
          <w:szCs w:val="32"/>
        </w:rPr>
        <w:t>加强组织领导；加大资金保障；加强日常管理工作等</w:t>
      </w:r>
      <w:r>
        <w:rPr>
          <w:rFonts w:hint="eastAsia" w:ascii="仿宋_GB2312" w:hAnsi="仿宋_GB2312" w:cs="仿宋_GB2312"/>
          <w:szCs w:val="32"/>
        </w:rPr>
        <w:t>。</w:t>
      </w:r>
    </w:p>
    <w:p w14:paraId="47615AC1">
      <w:pPr>
        <w:spacing w:line="560" w:lineRule="exact"/>
        <w:ind w:firstLine="640" w:firstLineChars="200"/>
        <w:rPr>
          <w:rFonts w:ascii="仿宋_GB2312" w:hAnsi="仿宋_GB2312" w:cs="仿宋_GB2312"/>
          <w:szCs w:val="32"/>
        </w:rPr>
      </w:pPr>
      <w:r>
        <w:rPr>
          <w:rFonts w:hint="eastAsia" w:ascii="方正仿宋_GB2312" w:hAnsi="方正仿宋_GB2312" w:eastAsia="方正仿宋_GB2312" w:cs="方正仿宋_GB2312"/>
          <w:kern w:val="0"/>
          <w:szCs w:val="32"/>
        </w:rPr>
        <w:t>地下管线信息系统管理与维护经费</w:t>
      </w:r>
      <w:r>
        <w:rPr>
          <w:rFonts w:hint="eastAsia" w:ascii="仿宋_GB2312" w:hAnsi="仿宋_GB2312" w:cs="仿宋_GB2312"/>
          <w:szCs w:val="32"/>
        </w:rPr>
        <w:t>项目的《项目支出绩效自评表》。</w:t>
      </w:r>
    </w:p>
    <w:tbl>
      <w:tblPr>
        <w:tblStyle w:val="6"/>
        <w:tblW w:w="9000" w:type="dxa"/>
        <w:tblInd w:w="93" w:type="dxa"/>
        <w:tblLayout w:type="autofit"/>
        <w:tblCellMar>
          <w:top w:w="0" w:type="dxa"/>
          <w:left w:w="108" w:type="dxa"/>
          <w:bottom w:w="0" w:type="dxa"/>
          <w:right w:w="108" w:type="dxa"/>
        </w:tblCellMar>
      </w:tblPr>
      <w:tblGrid>
        <w:gridCol w:w="840"/>
        <w:gridCol w:w="640"/>
        <w:gridCol w:w="595"/>
        <w:gridCol w:w="1581"/>
        <w:gridCol w:w="767"/>
        <w:gridCol w:w="832"/>
        <w:gridCol w:w="936"/>
        <w:gridCol w:w="628"/>
        <w:gridCol w:w="1076"/>
        <w:gridCol w:w="1105"/>
      </w:tblGrid>
      <w:tr w14:paraId="34FBAAB4">
        <w:tblPrEx>
          <w:tblCellMar>
            <w:top w:w="0" w:type="dxa"/>
            <w:left w:w="108" w:type="dxa"/>
            <w:bottom w:w="0" w:type="dxa"/>
            <w:right w:w="108" w:type="dxa"/>
          </w:tblCellMar>
        </w:tblPrEx>
        <w:trPr>
          <w:trHeight w:val="592" w:hRule="atLeast"/>
        </w:trPr>
        <w:tc>
          <w:tcPr>
            <w:tcW w:w="9000" w:type="dxa"/>
            <w:gridSpan w:val="10"/>
            <w:tcBorders>
              <w:top w:val="nil"/>
              <w:left w:val="nil"/>
              <w:bottom w:val="nil"/>
              <w:right w:val="nil"/>
            </w:tcBorders>
            <w:shd w:val="clear" w:color="auto" w:fill="auto"/>
            <w:vAlign w:val="center"/>
          </w:tcPr>
          <w:p w14:paraId="2CA84D8A">
            <w:pPr>
              <w:keepNext w:val="0"/>
              <w:keepLines w:val="0"/>
              <w:widowControl/>
              <w:suppressLineNumbers w:val="0"/>
              <w:jc w:val="center"/>
              <w:textAlignment w:val="center"/>
              <w:rPr>
                <w:rFonts w:ascii="宋体" w:hAnsi="宋体" w:eastAsia="宋体" w:cs="宋体"/>
                <w:b/>
                <w:bCs/>
                <w:color w:val="000000"/>
                <w:szCs w:val="32"/>
              </w:rPr>
            </w:pPr>
            <w:r>
              <w:rPr>
                <w:rFonts w:hint="eastAsia" w:ascii="宋体" w:hAnsi="宋体" w:eastAsia="宋体" w:cs="宋体"/>
                <w:i w:val="0"/>
                <w:iCs w:val="0"/>
                <w:color w:val="000000"/>
                <w:kern w:val="0"/>
                <w:sz w:val="32"/>
                <w:szCs w:val="32"/>
                <w:u w:val="none"/>
                <w:lang w:val="en-US" w:eastAsia="zh-CN" w:bidi="ar"/>
              </w:rPr>
              <w:t>项目支出绩效自评表</w:t>
            </w:r>
          </w:p>
        </w:tc>
      </w:tr>
      <w:tr w14:paraId="3D6B3D61">
        <w:tblPrEx>
          <w:tblCellMar>
            <w:top w:w="0" w:type="dxa"/>
            <w:left w:w="108" w:type="dxa"/>
            <w:bottom w:w="0" w:type="dxa"/>
            <w:right w:w="108" w:type="dxa"/>
          </w:tblCellMar>
        </w:tblPrEx>
        <w:trPr>
          <w:trHeight w:val="592" w:hRule="atLeast"/>
        </w:trPr>
        <w:tc>
          <w:tcPr>
            <w:tcW w:w="9000" w:type="dxa"/>
            <w:gridSpan w:val="10"/>
            <w:tcBorders>
              <w:top w:val="nil"/>
              <w:left w:val="nil"/>
              <w:bottom w:val="single" w:color="auto" w:sz="4" w:space="0"/>
              <w:right w:val="nil"/>
            </w:tcBorders>
            <w:shd w:val="clear" w:color="auto" w:fill="auto"/>
            <w:vAlign w:val="center"/>
          </w:tcPr>
          <w:p w14:paraId="50971AC8">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（2023年度）</w:t>
            </w:r>
          </w:p>
        </w:tc>
      </w:tr>
      <w:tr w14:paraId="2B66DCFB">
        <w:tblPrEx>
          <w:tblCellMar>
            <w:top w:w="0" w:type="dxa"/>
            <w:left w:w="108" w:type="dxa"/>
            <w:bottom w:w="0" w:type="dxa"/>
            <w:right w:w="108" w:type="dxa"/>
          </w:tblCellMar>
        </w:tblPrEx>
        <w:trPr>
          <w:trHeight w:val="613" w:hRule="atLeast"/>
        </w:trPr>
        <w:tc>
          <w:tcPr>
            <w:tcW w:w="2075"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14:paraId="34D1FC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项目名称</w:t>
            </w:r>
          </w:p>
        </w:tc>
        <w:tc>
          <w:tcPr>
            <w:tcW w:w="6925" w:type="dxa"/>
            <w:gridSpan w:val="7"/>
            <w:tcBorders>
              <w:top w:val="single" w:color="auto" w:sz="4" w:space="0"/>
              <w:left w:val="nil"/>
              <w:bottom w:val="single" w:color="000000" w:sz="8" w:space="0"/>
              <w:right w:val="single" w:color="000000" w:sz="8" w:space="0"/>
            </w:tcBorders>
            <w:shd w:val="clear" w:color="auto" w:fill="auto"/>
            <w:vAlign w:val="center"/>
          </w:tcPr>
          <w:p w14:paraId="122BB9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地下管线信息管理系统运维经费</w:t>
            </w:r>
          </w:p>
        </w:tc>
      </w:tr>
      <w:tr w14:paraId="78CF1B32">
        <w:tblPrEx>
          <w:tblCellMar>
            <w:top w:w="0" w:type="dxa"/>
            <w:left w:w="108" w:type="dxa"/>
            <w:bottom w:w="0" w:type="dxa"/>
            <w:right w:w="108" w:type="dxa"/>
          </w:tblCellMar>
        </w:tblPrEx>
        <w:trPr>
          <w:trHeight w:val="613" w:hRule="atLeast"/>
        </w:trPr>
        <w:tc>
          <w:tcPr>
            <w:tcW w:w="2075" w:type="dxa"/>
            <w:gridSpan w:val="3"/>
            <w:tcBorders>
              <w:top w:val="nil"/>
              <w:left w:val="single" w:color="000000" w:sz="8" w:space="0"/>
              <w:bottom w:val="nil"/>
              <w:right w:val="single" w:color="000000" w:sz="8" w:space="0"/>
            </w:tcBorders>
            <w:shd w:val="clear" w:color="auto" w:fill="auto"/>
            <w:vAlign w:val="center"/>
          </w:tcPr>
          <w:p w14:paraId="44F76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主管部门</w:t>
            </w:r>
          </w:p>
        </w:tc>
        <w:tc>
          <w:tcPr>
            <w:tcW w:w="3180" w:type="dxa"/>
            <w:gridSpan w:val="3"/>
            <w:tcBorders>
              <w:top w:val="nil"/>
              <w:left w:val="nil"/>
              <w:bottom w:val="single" w:color="000000" w:sz="8" w:space="0"/>
              <w:right w:val="single" w:color="000000" w:sz="8" w:space="0"/>
            </w:tcBorders>
            <w:shd w:val="clear" w:color="auto" w:fill="auto"/>
            <w:vAlign w:val="center"/>
          </w:tcPr>
          <w:p w14:paraId="299C40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266-淮北市住房和城乡建设局</w:t>
            </w:r>
          </w:p>
        </w:tc>
        <w:tc>
          <w:tcPr>
            <w:tcW w:w="936" w:type="dxa"/>
            <w:tcBorders>
              <w:top w:val="nil"/>
              <w:left w:val="nil"/>
              <w:bottom w:val="single" w:color="000000" w:sz="8" w:space="0"/>
              <w:right w:val="single" w:color="000000" w:sz="8" w:space="0"/>
            </w:tcBorders>
            <w:shd w:val="clear" w:color="auto" w:fill="auto"/>
            <w:vAlign w:val="center"/>
          </w:tcPr>
          <w:p w14:paraId="5F8AAD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实施单位</w:t>
            </w:r>
          </w:p>
        </w:tc>
        <w:tc>
          <w:tcPr>
            <w:tcW w:w="2809" w:type="dxa"/>
            <w:gridSpan w:val="3"/>
            <w:tcBorders>
              <w:top w:val="nil"/>
              <w:left w:val="nil"/>
              <w:bottom w:val="single" w:color="000000" w:sz="8" w:space="0"/>
              <w:right w:val="single" w:color="000000" w:sz="8" w:space="0"/>
            </w:tcBorders>
            <w:shd w:val="clear" w:color="auto" w:fill="auto"/>
            <w:vAlign w:val="center"/>
          </w:tcPr>
          <w:p w14:paraId="3EC6B2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266016-淮北市城市建设档案馆</w:t>
            </w:r>
          </w:p>
        </w:tc>
      </w:tr>
      <w:tr w14:paraId="1F7774B7">
        <w:tblPrEx>
          <w:tblCellMar>
            <w:top w:w="0" w:type="dxa"/>
            <w:left w:w="108" w:type="dxa"/>
            <w:bottom w:w="0" w:type="dxa"/>
            <w:right w:w="108" w:type="dxa"/>
          </w:tblCellMar>
        </w:tblPrEx>
        <w:trPr>
          <w:trHeight w:val="185" w:hRule="atLeast"/>
        </w:trPr>
        <w:tc>
          <w:tcPr>
            <w:tcW w:w="2075" w:type="dxa"/>
            <w:gridSpan w:val="3"/>
            <w:vMerge w:val="restart"/>
            <w:tcBorders>
              <w:top w:val="nil"/>
              <w:left w:val="single" w:color="000000" w:sz="8" w:space="0"/>
              <w:bottom w:val="single" w:color="000000" w:sz="8" w:space="0"/>
              <w:right w:val="single" w:color="000000" w:sz="8" w:space="0"/>
            </w:tcBorders>
            <w:shd w:val="clear" w:color="auto" w:fill="auto"/>
            <w:vAlign w:val="center"/>
          </w:tcPr>
          <w:p w14:paraId="6E081F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项目资金                    （万元）</w:t>
            </w:r>
          </w:p>
        </w:tc>
        <w:tc>
          <w:tcPr>
            <w:tcW w:w="1581" w:type="dxa"/>
            <w:tcBorders>
              <w:top w:val="nil"/>
              <w:left w:val="nil"/>
              <w:bottom w:val="single" w:color="000000" w:sz="8" w:space="0"/>
              <w:right w:val="single" w:color="000000" w:sz="8" w:space="0"/>
            </w:tcBorders>
            <w:shd w:val="clear" w:color="auto" w:fill="auto"/>
            <w:vAlign w:val="center"/>
          </w:tcPr>
          <w:p w14:paraId="79A42C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nil"/>
              <w:left w:val="nil"/>
              <w:bottom w:val="single" w:color="000000" w:sz="8" w:space="0"/>
              <w:right w:val="single" w:color="000000" w:sz="8" w:space="0"/>
            </w:tcBorders>
            <w:shd w:val="clear" w:color="auto" w:fill="auto"/>
            <w:vAlign w:val="center"/>
          </w:tcPr>
          <w:p w14:paraId="254DC2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年初预算数</w:t>
            </w:r>
          </w:p>
        </w:tc>
        <w:tc>
          <w:tcPr>
            <w:tcW w:w="832" w:type="dxa"/>
            <w:tcBorders>
              <w:top w:val="nil"/>
              <w:left w:val="nil"/>
              <w:bottom w:val="single" w:color="000000" w:sz="8" w:space="0"/>
              <w:right w:val="single" w:color="000000" w:sz="8" w:space="0"/>
            </w:tcBorders>
            <w:shd w:val="clear" w:color="auto" w:fill="auto"/>
            <w:vAlign w:val="center"/>
          </w:tcPr>
          <w:p w14:paraId="0137F9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全年预算数</w:t>
            </w:r>
          </w:p>
        </w:tc>
        <w:tc>
          <w:tcPr>
            <w:tcW w:w="936" w:type="dxa"/>
            <w:tcBorders>
              <w:top w:val="nil"/>
              <w:left w:val="nil"/>
              <w:bottom w:val="single" w:color="000000" w:sz="8" w:space="0"/>
              <w:right w:val="single" w:color="000000" w:sz="8" w:space="0"/>
            </w:tcBorders>
            <w:shd w:val="clear" w:color="auto" w:fill="auto"/>
            <w:vAlign w:val="center"/>
          </w:tcPr>
          <w:p w14:paraId="52D128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全年执行数</w:t>
            </w:r>
          </w:p>
        </w:tc>
        <w:tc>
          <w:tcPr>
            <w:tcW w:w="628" w:type="dxa"/>
            <w:tcBorders>
              <w:top w:val="nil"/>
              <w:left w:val="nil"/>
              <w:bottom w:val="single" w:color="000000" w:sz="8" w:space="0"/>
              <w:right w:val="single" w:color="000000" w:sz="8" w:space="0"/>
            </w:tcBorders>
            <w:shd w:val="clear" w:color="auto" w:fill="auto"/>
            <w:vAlign w:val="center"/>
          </w:tcPr>
          <w:p w14:paraId="2CCE70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分值</w:t>
            </w:r>
          </w:p>
        </w:tc>
        <w:tc>
          <w:tcPr>
            <w:tcW w:w="1076" w:type="dxa"/>
            <w:tcBorders>
              <w:top w:val="single" w:color="000000" w:sz="8" w:space="0"/>
              <w:left w:val="nil"/>
              <w:bottom w:val="single" w:color="000000" w:sz="8" w:space="0"/>
              <w:right w:val="single" w:color="000000" w:sz="8" w:space="0"/>
            </w:tcBorders>
            <w:shd w:val="clear" w:color="auto" w:fill="auto"/>
            <w:vAlign w:val="center"/>
          </w:tcPr>
          <w:p w14:paraId="56C21F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执行率</w:t>
            </w:r>
          </w:p>
        </w:tc>
        <w:tc>
          <w:tcPr>
            <w:tcW w:w="1105" w:type="dxa"/>
            <w:tcBorders>
              <w:top w:val="nil"/>
              <w:left w:val="nil"/>
              <w:bottom w:val="single" w:color="000000" w:sz="8" w:space="0"/>
              <w:right w:val="single" w:color="000000" w:sz="8" w:space="0"/>
            </w:tcBorders>
            <w:shd w:val="clear" w:color="auto" w:fill="auto"/>
            <w:vAlign w:val="center"/>
          </w:tcPr>
          <w:p w14:paraId="5FD7A3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得分</w:t>
            </w:r>
          </w:p>
        </w:tc>
      </w:tr>
      <w:tr w14:paraId="663F259B">
        <w:tblPrEx>
          <w:tblCellMar>
            <w:top w:w="0" w:type="dxa"/>
            <w:left w:w="108" w:type="dxa"/>
            <w:bottom w:w="0" w:type="dxa"/>
            <w:right w:w="108" w:type="dxa"/>
          </w:tblCellMar>
        </w:tblPrEx>
        <w:trPr>
          <w:trHeight w:val="569" w:hRule="atLeast"/>
        </w:trPr>
        <w:tc>
          <w:tcPr>
            <w:tcW w:w="2075" w:type="dxa"/>
            <w:gridSpan w:val="3"/>
            <w:vMerge w:val="continue"/>
            <w:tcBorders>
              <w:top w:val="nil"/>
              <w:left w:val="single" w:color="000000" w:sz="8" w:space="0"/>
              <w:bottom w:val="single" w:color="000000" w:sz="8" w:space="0"/>
              <w:right w:val="single" w:color="000000" w:sz="8" w:space="0"/>
            </w:tcBorders>
            <w:shd w:val="clear" w:color="auto" w:fill="auto"/>
            <w:vAlign w:val="center"/>
          </w:tcPr>
          <w:p w14:paraId="2D817F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81" w:type="dxa"/>
            <w:tcBorders>
              <w:top w:val="nil"/>
              <w:left w:val="nil"/>
              <w:bottom w:val="single" w:color="000000" w:sz="8" w:space="0"/>
              <w:right w:val="single" w:color="000000" w:sz="8" w:space="0"/>
            </w:tcBorders>
            <w:shd w:val="clear" w:color="auto" w:fill="auto"/>
            <w:vAlign w:val="center"/>
          </w:tcPr>
          <w:p w14:paraId="01DBDF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年度资金总额：</w:t>
            </w:r>
          </w:p>
        </w:tc>
        <w:tc>
          <w:tcPr>
            <w:tcW w:w="767" w:type="dxa"/>
            <w:tcBorders>
              <w:top w:val="nil"/>
              <w:left w:val="nil"/>
              <w:bottom w:val="single" w:color="000000" w:sz="8" w:space="0"/>
              <w:right w:val="single" w:color="000000" w:sz="8" w:space="0"/>
            </w:tcBorders>
            <w:shd w:val="clear" w:color="auto" w:fill="auto"/>
            <w:vAlign w:val="center"/>
          </w:tcPr>
          <w:p w14:paraId="56F857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832" w:type="dxa"/>
            <w:tcBorders>
              <w:top w:val="nil"/>
              <w:left w:val="nil"/>
              <w:bottom w:val="single" w:color="000000" w:sz="8" w:space="0"/>
              <w:right w:val="single" w:color="000000" w:sz="8" w:space="0"/>
            </w:tcBorders>
            <w:shd w:val="clear" w:color="auto" w:fill="auto"/>
            <w:vAlign w:val="center"/>
          </w:tcPr>
          <w:p w14:paraId="351E87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936" w:type="dxa"/>
            <w:tcBorders>
              <w:top w:val="nil"/>
              <w:left w:val="nil"/>
              <w:bottom w:val="single" w:color="000000" w:sz="8" w:space="0"/>
              <w:right w:val="single" w:color="000000" w:sz="8" w:space="0"/>
            </w:tcBorders>
            <w:shd w:val="clear" w:color="auto" w:fill="auto"/>
            <w:vAlign w:val="center"/>
          </w:tcPr>
          <w:p w14:paraId="2AABAE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628" w:type="dxa"/>
            <w:tcBorders>
              <w:top w:val="nil"/>
              <w:left w:val="nil"/>
              <w:bottom w:val="single" w:color="000000" w:sz="8" w:space="0"/>
              <w:right w:val="single" w:color="000000" w:sz="8" w:space="0"/>
            </w:tcBorders>
            <w:shd w:val="clear" w:color="auto" w:fill="auto"/>
            <w:vAlign w:val="center"/>
          </w:tcPr>
          <w:p w14:paraId="292AD7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76" w:type="dxa"/>
            <w:tcBorders>
              <w:top w:val="nil"/>
              <w:left w:val="nil"/>
              <w:bottom w:val="single" w:color="000000" w:sz="8" w:space="0"/>
              <w:right w:val="single" w:color="000000" w:sz="8" w:space="0"/>
            </w:tcBorders>
            <w:shd w:val="clear" w:color="auto" w:fill="auto"/>
            <w:vAlign w:val="center"/>
          </w:tcPr>
          <w:p w14:paraId="2E51AD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w:t>
            </w:r>
          </w:p>
        </w:tc>
        <w:tc>
          <w:tcPr>
            <w:tcW w:w="1105" w:type="dxa"/>
            <w:tcBorders>
              <w:top w:val="nil"/>
              <w:left w:val="nil"/>
              <w:bottom w:val="single" w:color="000000" w:sz="8" w:space="0"/>
              <w:right w:val="single" w:color="000000" w:sz="8" w:space="0"/>
            </w:tcBorders>
            <w:shd w:val="clear" w:color="auto" w:fill="auto"/>
            <w:vAlign w:val="center"/>
          </w:tcPr>
          <w:p w14:paraId="718165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r>
      <w:tr w14:paraId="142197AF">
        <w:tblPrEx>
          <w:tblCellMar>
            <w:top w:w="0" w:type="dxa"/>
            <w:left w:w="108" w:type="dxa"/>
            <w:bottom w:w="0" w:type="dxa"/>
            <w:right w:w="108" w:type="dxa"/>
          </w:tblCellMar>
        </w:tblPrEx>
        <w:trPr>
          <w:trHeight w:val="689" w:hRule="atLeast"/>
        </w:trPr>
        <w:tc>
          <w:tcPr>
            <w:tcW w:w="2075" w:type="dxa"/>
            <w:gridSpan w:val="3"/>
            <w:vMerge w:val="continue"/>
            <w:tcBorders>
              <w:top w:val="nil"/>
              <w:left w:val="single" w:color="000000" w:sz="8" w:space="0"/>
              <w:bottom w:val="single" w:color="000000" w:sz="8" w:space="0"/>
              <w:right w:val="single" w:color="000000" w:sz="8" w:space="0"/>
            </w:tcBorders>
            <w:shd w:val="clear" w:color="auto" w:fill="auto"/>
            <w:vAlign w:val="center"/>
          </w:tcPr>
          <w:p w14:paraId="115EAC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81" w:type="dxa"/>
            <w:tcBorders>
              <w:top w:val="nil"/>
              <w:left w:val="nil"/>
              <w:bottom w:val="single" w:color="000000" w:sz="8" w:space="0"/>
              <w:right w:val="single" w:color="000000" w:sz="8" w:space="0"/>
            </w:tcBorders>
            <w:shd w:val="clear" w:color="auto" w:fill="auto"/>
            <w:vAlign w:val="center"/>
          </w:tcPr>
          <w:p w14:paraId="074477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其中：本年财政拨款</w:t>
            </w:r>
          </w:p>
        </w:tc>
        <w:tc>
          <w:tcPr>
            <w:tcW w:w="767" w:type="dxa"/>
            <w:tcBorders>
              <w:top w:val="nil"/>
              <w:left w:val="nil"/>
              <w:bottom w:val="single" w:color="000000" w:sz="8" w:space="0"/>
              <w:right w:val="single" w:color="000000" w:sz="8" w:space="0"/>
            </w:tcBorders>
            <w:shd w:val="clear" w:color="auto" w:fill="auto"/>
            <w:vAlign w:val="center"/>
          </w:tcPr>
          <w:p w14:paraId="0463C5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832" w:type="dxa"/>
            <w:tcBorders>
              <w:top w:val="nil"/>
              <w:left w:val="nil"/>
              <w:bottom w:val="single" w:color="000000" w:sz="8" w:space="0"/>
              <w:right w:val="single" w:color="000000" w:sz="8" w:space="0"/>
            </w:tcBorders>
            <w:shd w:val="clear" w:color="auto" w:fill="auto"/>
            <w:vAlign w:val="center"/>
          </w:tcPr>
          <w:p w14:paraId="0E4CE2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936" w:type="dxa"/>
            <w:tcBorders>
              <w:top w:val="nil"/>
              <w:left w:val="nil"/>
              <w:bottom w:val="single" w:color="000000" w:sz="8" w:space="0"/>
              <w:right w:val="single" w:color="000000" w:sz="8" w:space="0"/>
            </w:tcBorders>
            <w:shd w:val="clear" w:color="auto" w:fill="auto"/>
            <w:vAlign w:val="center"/>
          </w:tcPr>
          <w:p w14:paraId="713915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628" w:type="dxa"/>
            <w:tcBorders>
              <w:top w:val="nil"/>
              <w:left w:val="nil"/>
              <w:bottom w:val="single" w:color="000000" w:sz="8" w:space="0"/>
              <w:right w:val="single" w:color="000000" w:sz="8" w:space="0"/>
            </w:tcBorders>
            <w:shd w:val="clear" w:color="auto" w:fill="auto"/>
            <w:vAlign w:val="center"/>
          </w:tcPr>
          <w:p w14:paraId="188745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076" w:type="dxa"/>
            <w:tcBorders>
              <w:top w:val="nil"/>
              <w:left w:val="nil"/>
              <w:bottom w:val="single" w:color="000000" w:sz="8" w:space="0"/>
              <w:right w:val="single" w:color="000000" w:sz="8" w:space="0"/>
            </w:tcBorders>
            <w:shd w:val="clear" w:color="auto" w:fill="auto"/>
            <w:vAlign w:val="center"/>
          </w:tcPr>
          <w:p w14:paraId="7DA7AE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05" w:type="dxa"/>
            <w:tcBorders>
              <w:top w:val="nil"/>
              <w:left w:val="nil"/>
              <w:bottom w:val="single" w:color="000000" w:sz="8" w:space="0"/>
              <w:right w:val="single" w:color="000000" w:sz="8" w:space="0"/>
            </w:tcBorders>
            <w:shd w:val="clear" w:color="auto" w:fill="auto"/>
            <w:vAlign w:val="center"/>
          </w:tcPr>
          <w:p w14:paraId="100354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0B8A25">
        <w:tblPrEx>
          <w:tblCellMar>
            <w:top w:w="0" w:type="dxa"/>
            <w:left w:w="108" w:type="dxa"/>
            <w:bottom w:w="0" w:type="dxa"/>
            <w:right w:w="108" w:type="dxa"/>
          </w:tblCellMar>
        </w:tblPrEx>
        <w:trPr>
          <w:trHeight w:val="485" w:hRule="atLeast"/>
        </w:trPr>
        <w:tc>
          <w:tcPr>
            <w:tcW w:w="2075" w:type="dxa"/>
            <w:gridSpan w:val="3"/>
            <w:vMerge w:val="continue"/>
            <w:tcBorders>
              <w:top w:val="nil"/>
              <w:left w:val="single" w:color="000000" w:sz="8" w:space="0"/>
              <w:bottom w:val="single" w:color="000000" w:sz="8" w:space="0"/>
              <w:right w:val="single" w:color="000000" w:sz="8" w:space="0"/>
            </w:tcBorders>
            <w:shd w:val="clear" w:color="auto" w:fill="auto"/>
            <w:vAlign w:val="center"/>
          </w:tcPr>
          <w:p w14:paraId="7A6263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81" w:type="dxa"/>
            <w:tcBorders>
              <w:top w:val="nil"/>
              <w:left w:val="nil"/>
              <w:bottom w:val="single" w:color="000000" w:sz="8" w:space="0"/>
              <w:right w:val="single" w:color="000000" w:sz="8" w:space="0"/>
            </w:tcBorders>
            <w:shd w:val="clear" w:color="auto" w:fill="auto"/>
            <w:vAlign w:val="center"/>
          </w:tcPr>
          <w:p w14:paraId="02A80E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上年结转资金</w:t>
            </w:r>
          </w:p>
        </w:tc>
        <w:tc>
          <w:tcPr>
            <w:tcW w:w="767" w:type="dxa"/>
            <w:tcBorders>
              <w:top w:val="nil"/>
              <w:left w:val="nil"/>
              <w:bottom w:val="single" w:color="000000" w:sz="8" w:space="0"/>
              <w:right w:val="single" w:color="000000" w:sz="8" w:space="0"/>
            </w:tcBorders>
            <w:shd w:val="clear" w:color="auto" w:fill="auto"/>
            <w:vAlign w:val="center"/>
          </w:tcPr>
          <w:p w14:paraId="6F6076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832" w:type="dxa"/>
            <w:tcBorders>
              <w:top w:val="nil"/>
              <w:left w:val="nil"/>
              <w:bottom w:val="single" w:color="000000" w:sz="8" w:space="0"/>
              <w:right w:val="single" w:color="000000" w:sz="8" w:space="0"/>
            </w:tcBorders>
            <w:shd w:val="clear" w:color="auto" w:fill="auto"/>
            <w:vAlign w:val="center"/>
          </w:tcPr>
          <w:p w14:paraId="4255C7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936" w:type="dxa"/>
            <w:tcBorders>
              <w:top w:val="nil"/>
              <w:left w:val="nil"/>
              <w:bottom w:val="single" w:color="000000" w:sz="8" w:space="0"/>
              <w:right w:val="single" w:color="000000" w:sz="8" w:space="0"/>
            </w:tcBorders>
            <w:shd w:val="clear" w:color="auto" w:fill="auto"/>
            <w:vAlign w:val="center"/>
          </w:tcPr>
          <w:p w14:paraId="5C1F65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628" w:type="dxa"/>
            <w:tcBorders>
              <w:top w:val="nil"/>
              <w:left w:val="nil"/>
              <w:bottom w:val="single" w:color="000000" w:sz="8" w:space="0"/>
              <w:right w:val="single" w:color="000000" w:sz="8" w:space="0"/>
            </w:tcBorders>
            <w:shd w:val="clear" w:color="auto" w:fill="auto"/>
            <w:vAlign w:val="center"/>
          </w:tcPr>
          <w:p w14:paraId="494812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076" w:type="dxa"/>
            <w:tcBorders>
              <w:top w:val="nil"/>
              <w:left w:val="nil"/>
              <w:bottom w:val="single" w:color="000000" w:sz="8" w:space="0"/>
              <w:right w:val="single" w:color="000000" w:sz="8" w:space="0"/>
            </w:tcBorders>
            <w:shd w:val="clear" w:color="auto" w:fill="auto"/>
            <w:vAlign w:val="center"/>
          </w:tcPr>
          <w:p w14:paraId="27E525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05" w:type="dxa"/>
            <w:tcBorders>
              <w:top w:val="nil"/>
              <w:left w:val="nil"/>
              <w:bottom w:val="single" w:color="000000" w:sz="8" w:space="0"/>
              <w:right w:val="single" w:color="000000" w:sz="8" w:space="0"/>
            </w:tcBorders>
            <w:shd w:val="clear" w:color="auto" w:fill="auto"/>
            <w:vAlign w:val="center"/>
          </w:tcPr>
          <w:p w14:paraId="1BDA8C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7562AF">
        <w:tblPrEx>
          <w:tblCellMar>
            <w:top w:w="0" w:type="dxa"/>
            <w:left w:w="108" w:type="dxa"/>
            <w:bottom w:w="0" w:type="dxa"/>
            <w:right w:w="108" w:type="dxa"/>
          </w:tblCellMar>
        </w:tblPrEx>
        <w:trPr>
          <w:trHeight w:val="373" w:hRule="atLeast"/>
        </w:trPr>
        <w:tc>
          <w:tcPr>
            <w:tcW w:w="2075" w:type="dxa"/>
            <w:gridSpan w:val="3"/>
            <w:vMerge w:val="continue"/>
            <w:tcBorders>
              <w:top w:val="nil"/>
              <w:left w:val="single" w:color="000000" w:sz="8" w:space="0"/>
              <w:bottom w:val="single" w:color="000000" w:sz="8" w:space="0"/>
              <w:right w:val="single" w:color="000000" w:sz="8" w:space="0"/>
            </w:tcBorders>
            <w:shd w:val="clear" w:color="auto" w:fill="auto"/>
            <w:vAlign w:val="center"/>
          </w:tcPr>
          <w:p w14:paraId="09EF5E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81" w:type="dxa"/>
            <w:tcBorders>
              <w:top w:val="nil"/>
              <w:left w:val="nil"/>
              <w:bottom w:val="single" w:color="000000" w:sz="8" w:space="0"/>
              <w:right w:val="single" w:color="000000" w:sz="8" w:space="0"/>
            </w:tcBorders>
            <w:shd w:val="clear" w:color="auto" w:fill="auto"/>
            <w:vAlign w:val="center"/>
          </w:tcPr>
          <w:p w14:paraId="79C7E4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其他资金</w:t>
            </w:r>
          </w:p>
        </w:tc>
        <w:tc>
          <w:tcPr>
            <w:tcW w:w="767" w:type="dxa"/>
            <w:tcBorders>
              <w:top w:val="nil"/>
              <w:left w:val="nil"/>
              <w:bottom w:val="single" w:color="000000" w:sz="8" w:space="0"/>
              <w:right w:val="single" w:color="000000" w:sz="8" w:space="0"/>
            </w:tcBorders>
            <w:shd w:val="clear" w:color="auto" w:fill="auto"/>
            <w:vAlign w:val="center"/>
          </w:tcPr>
          <w:p w14:paraId="588FE5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832" w:type="dxa"/>
            <w:tcBorders>
              <w:top w:val="nil"/>
              <w:left w:val="nil"/>
              <w:bottom w:val="single" w:color="000000" w:sz="8" w:space="0"/>
              <w:right w:val="single" w:color="000000" w:sz="8" w:space="0"/>
            </w:tcBorders>
            <w:shd w:val="clear" w:color="auto" w:fill="auto"/>
            <w:vAlign w:val="center"/>
          </w:tcPr>
          <w:p w14:paraId="0C9D83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936" w:type="dxa"/>
            <w:tcBorders>
              <w:top w:val="nil"/>
              <w:left w:val="nil"/>
              <w:bottom w:val="single" w:color="000000" w:sz="8" w:space="0"/>
              <w:right w:val="single" w:color="000000" w:sz="8" w:space="0"/>
            </w:tcBorders>
            <w:shd w:val="clear" w:color="auto" w:fill="auto"/>
            <w:vAlign w:val="center"/>
          </w:tcPr>
          <w:p w14:paraId="2B0B70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628" w:type="dxa"/>
            <w:tcBorders>
              <w:top w:val="nil"/>
              <w:left w:val="nil"/>
              <w:bottom w:val="single" w:color="000000" w:sz="8" w:space="0"/>
              <w:right w:val="single" w:color="000000" w:sz="8" w:space="0"/>
            </w:tcBorders>
            <w:shd w:val="clear" w:color="auto" w:fill="auto"/>
            <w:vAlign w:val="center"/>
          </w:tcPr>
          <w:p w14:paraId="70B0EA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076" w:type="dxa"/>
            <w:tcBorders>
              <w:top w:val="nil"/>
              <w:left w:val="nil"/>
              <w:bottom w:val="single" w:color="000000" w:sz="8" w:space="0"/>
              <w:right w:val="single" w:color="000000" w:sz="8" w:space="0"/>
            </w:tcBorders>
            <w:shd w:val="clear" w:color="auto" w:fill="auto"/>
            <w:vAlign w:val="center"/>
          </w:tcPr>
          <w:p w14:paraId="6B32DF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05" w:type="dxa"/>
            <w:tcBorders>
              <w:top w:val="nil"/>
              <w:left w:val="nil"/>
              <w:bottom w:val="single" w:color="000000" w:sz="8" w:space="0"/>
              <w:right w:val="single" w:color="000000" w:sz="8" w:space="0"/>
            </w:tcBorders>
            <w:shd w:val="clear" w:color="auto" w:fill="auto"/>
            <w:vAlign w:val="center"/>
          </w:tcPr>
          <w:p w14:paraId="1B5702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21753E">
        <w:tblPrEx>
          <w:tblCellMar>
            <w:top w:w="0" w:type="dxa"/>
            <w:left w:w="108" w:type="dxa"/>
            <w:bottom w:w="0" w:type="dxa"/>
            <w:right w:w="108" w:type="dxa"/>
          </w:tblCellMar>
        </w:tblPrEx>
        <w:trPr>
          <w:trHeight w:val="557" w:hRule="atLeast"/>
        </w:trPr>
        <w:tc>
          <w:tcPr>
            <w:tcW w:w="840" w:type="dxa"/>
            <w:vMerge w:val="restart"/>
            <w:tcBorders>
              <w:top w:val="nil"/>
              <w:left w:val="single" w:color="000000" w:sz="8" w:space="0"/>
              <w:bottom w:val="single" w:color="000000" w:sz="8" w:space="0"/>
              <w:right w:val="single" w:color="000000" w:sz="8" w:space="0"/>
            </w:tcBorders>
            <w:shd w:val="clear" w:color="auto" w:fill="auto"/>
            <w:textDirection w:val="tbRlV"/>
            <w:vAlign w:val="center"/>
          </w:tcPr>
          <w:p w14:paraId="39DF10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年度总体目标</w:t>
            </w:r>
          </w:p>
        </w:tc>
        <w:tc>
          <w:tcPr>
            <w:tcW w:w="4415" w:type="dxa"/>
            <w:gridSpan w:val="5"/>
            <w:tcBorders>
              <w:top w:val="nil"/>
              <w:left w:val="nil"/>
              <w:bottom w:val="single" w:color="000000" w:sz="8" w:space="0"/>
              <w:right w:val="single" w:color="000000" w:sz="8" w:space="0"/>
            </w:tcBorders>
            <w:shd w:val="clear" w:color="auto" w:fill="auto"/>
            <w:vAlign w:val="center"/>
          </w:tcPr>
          <w:p w14:paraId="041373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预期目标</w:t>
            </w:r>
          </w:p>
        </w:tc>
        <w:tc>
          <w:tcPr>
            <w:tcW w:w="3745" w:type="dxa"/>
            <w:gridSpan w:val="4"/>
            <w:tcBorders>
              <w:top w:val="nil"/>
              <w:left w:val="nil"/>
              <w:bottom w:val="single" w:color="000000" w:sz="8" w:space="0"/>
              <w:right w:val="single" w:color="000000" w:sz="8" w:space="0"/>
            </w:tcBorders>
            <w:shd w:val="clear" w:color="auto" w:fill="auto"/>
            <w:vAlign w:val="center"/>
          </w:tcPr>
          <w:p w14:paraId="734F7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实际完成情况</w:t>
            </w:r>
          </w:p>
        </w:tc>
      </w:tr>
      <w:tr w14:paraId="18917C71">
        <w:tblPrEx>
          <w:tblCellMar>
            <w:top w:w="0" w:type="dxa"/>
            <w:left w:w="108" w:type="dxa"/>
            <w:bottom w:w="0" w:type="dxa"/>
            <w:right w:w="108" w:type="dxa"/>
          </w:tblCellMar>
        </w:tblPrEx>
        <w:trPr>
          <w:trHeight w:val="1044" w:hRule="atLeast"/>
        </w:trPr>
        <w:tc>
          <w:tcPr>
            <w:tcW w:w="840" w:type="dxa"/>
            <w:vMerge w:val="continue"/>
            <w:tcBorders>
              <w:top w:val="nil"/>
              <w:left w:val="single" w:color="000000" w:sz="8" w:space="0"/>
              <w:bottom w:val="single" w:color="000000" w:sz="8" w:space="0"/>
              <w:right w:val="single" w:color="000000" w:sz="8" w:space="0"/>
            </w:tcBorders>
            <w:shd w:val="clear" w:color="auto" w:fill="auto"/>
            <w:textDirection w:val="tbRlV"/>
            <w:vAlign w:val="center"/>
          </w:tcPr>
          <w:p w14:paraId="10092C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415" w:type="dxa"/>
            <w:gridSpan w:val="5"/>
            <w:tcBorders>
              <w:top w:val="nil"/>
              <w:left w:val="nil"/>
              <w:bottom w:val="single" w:color="000000" w:sz="8" w:space="0"/>
              <w:right w:val="single" w:color="000000" w:sz="8" w:space="0"/>
            </w:tcBorders>
            <w:shd w:val="clear" w:color="auto" w:fill="auto"/>
            <w:vAlign w:val="center"/>
          </w:tcPr>
          <w:p w14:paraId="0AA77E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2023年更新数据20公里。</w:t>
            </w:r>
          </w:p>
        </w:tc>
        <w:tc>
          <w:tcPr>
            <w:tcW w:w="3745" w:type="dxa"/>
            <w:gridSpan w:val="4"/>
            <w:tcBorders>
              <w:top w:val="nil"/>
              <w:left w:val="nil"/>
              <w:bottom w:val="single" w:color="000000" w:sz="8" w:space="0"/>
              <w:right w:val="single" w:color="000000" w:sz="8" w:space="0"/>
            </w:tcBorders>
            <w:shd w:val="clear" w:color="auto" w:fill="auto"/>
            <w:vAlign w:val="center"/>
          </w:tcPr>
          <w:p w14:paraId="0386C7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地下管线系统数据正常更新，系统经过维护更新未出现问题</w:t>
            </w:r>
          </w:p>
        </w:tc>
      </w:tr>
      <w:tr w14:paraId="27A983E8">
        <w:tblPrEx>
          <w:tblCellMar>
            <w:top w:w="0" w:type="dxa"/>
            <w:left w:w="108" w:type="dxa"/>
            <w:bottom w:w="0" w:type="dxa"/>
            <w:right w:w="108" w:type="dxa"/>
          </w:tblCellMar>
        </w:tblPrEx>
        <w:trPr>
          <w:trHeight w:val="613" w:hRule="atLeast"/>
        </w:trPr>
        <w:tc>
          <w:tcPr>
            <w:tcW w:w="840" w:type="dxa"/>
            <w:vMerge w:val="restart"/>
            <w:tcBorders>
              <w:top w:val="nil"/>
              <w:left w:val="single" w:color="000000" w:sz="8" w:space="0"/>
              <w:bottom w:val="nil"/>
              <w:right w:val="single" w:color="000000" w:sz="8" w:space="0"/>
            </w:tcBorders>
            <w:shd w:val="clear" w:color="auto" w:fill="auto"/>
            <w:textDirection w:val="tbRlV"/>
            <w:vAlign w:val="center"/>
          </w:tcPr>
          <w:p w14:paraId="02DA8C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绩效指标</w:t>
            </w:r>
          </w:p>
        </w:tc>
        <w:tc>
          <w:tcPr>
            <w:tcW w:w="640" w:type="dxa"/>
            <w:tcBorders>
              <w:top w:val="nil"/>
              <w:left w:val="nil"/>
              <w:bottom w:val="single" w:color="000000" w:sz="8" w:space="0"/>
              <w:right w:val="single" w:color="000000" w:sz="8" w:space="0"/>
            </w:tcBorders>
            <w:shd w:val="clear" w:color="auto" w:fill="auto"/>
            <w:vAlign w:val="center"/>
          </w:tcPr>
          <w:p w14:paraId="65506B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一级指标</w:t>
            </w:r>
          </w:p>
        </w:tc>
        <w:tc>
          <w:tcPr>
            <w:tcW w:w="595" w:type="dxa"/>
            <w:tcBorders>
              <w:top w:val="nil"/>
              <w:left w:val="nil"/>
              <w:bottom w:val="single" w:color="000000" w:sz="8" w:space="0"/>
              <w:right w:val="single" w:color="000000" w:sz="8" w:space="0"/>
            </w:tcBorders>
            <w:shd w:val="clear" w:color="auto" w:fill="auto"/>
            <w:vAlign w:val="center"/>
          </w:tcPr>
          <w:p w14:paraId="062A77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二级指标</w:t>
            </w:r>
          </w:p>
        </w:tc>
        <w:tc>
          <w:tcPr>
            <w:tcW w:w="2348" w:type="dxa"/>
            <w:gridSpan w:val="2"/>
            <w:tcBorders>
              <w:top w:val="single" w:color="000000" w:sz="8" w:space="0"/>
              <w:left w:val="nil"/>
              <w:bottom w:val="single" w:color="000000" w:sz="8" w:space="0"/>
              <w:right w:val="single" w:color="000000" w:sz="8" w:space="0"/>
            </w:tcBorders>
            <w:shd w:val="clear" w:color="auto" w:fill="auto"/>
            <w:vAlign w:val="center"/>
          </w:tcPr>
          <w:p w14:paraId="3ECDE6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三级指标</w:t>
            </w:r>
          </w:p>
        </w:tc>
        <w:tc>
          <w:tcPr>
            <w:tcW w:w="832" w:type="dxa"/>
            <w:tcBorders>
              <w:top w:val="nil"/>
              <w:left w:val="nil"/>
              <w:bottom w:val="nil"/>
              <w:right w:val="single" w:color="000000" w:sz="8" w:space="0"/>
            </w:tcBorders>
            <w:shd w:val="clear" w:color="auto" w:fill="auto"/>
            <w:vAlign w:val="center"/>
          </w:tcPr>
          <w:p w14:paraId="62EC4A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年度指标值</w:t>
            </w:r>
          </w:p>
        </w:tc>
        <w:tc>
          <w:tcPr>
            <w:tcW w:w="936" w:type="dxa"/>
            <w:tcBorders>
              <w:top w:val="nil"/>
              <w:left w:val="nil"/>
              <w:bottom w:val="nil"/>
              <w:right w:val="single" w:color="000000" w:sz="8" w:space="0"/>
            </w:tcBorders>
            <w:shd w:val="clear" w:color="auto" w:fill="auto"/>
            <w:vAlign w:val="center"/>
          </w:tcPr>
          <w:p w14:paraId="30343A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实际完成值</w:t>
            </w:r>
          </w:p>
        </w:tc>
        <w:tc>
          <w:tcPr>
            <w:tcW w:w="628" w:type="dxa"/>
            <w:tcBorders>
              <w:top w:val="nil"/>
              <w:left w:val="nil"/>
              <w:bottom w:val="single" w:color="000000" w:sz="8" w:space="0"/>
              <w:right w:val="single" w:color="000000" w:sz="8" w:space="0"/>
            </w:tcBorders>
            <w:shd w:val="clear" w:color="auto" w:fill="auto"/>
            <w:vAlign w:val="center"/>
          </w:tcPr>
          <w:p w14:paraId="11876B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分值</w:t>
            </w:r>
          </w:p>
        </w:tc>
        <w:tc>
          <w:tcPr>
            <w:tcW w:w="1076" w:type="dxa"/>
            <w:tcBorders>
              <w:top w:val="nil"/>
              <w:left w:val="nil"/>
              <w:bottom w:val="single" w:color="000000" w:sz="8" w:space="0"/>
              <w:right w:val="single" w:color="000000" w:sz="8" w:space="0"/>
            </w:tcBorders>
            <w:shd w:val="clear" w:color="auto" w:fill="auto"/>
            <w:vAlign w:val="center"/>
          </w:tcPr>
          <w:p w14:paraId="155FBC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得分</w:t>
            </w:r>
          </w:p>
        </w:tc>
        <w:tc>
          <w:tcPr>
            <w:tcW w:w="1105" w:type="dxa"/>
            <w:tcBorders>
              <w:top w:val="single" w:color="000000" w:sz="8" w:space="0"/>
              <w:left w:val="nil"/>
              <w:bottom w:val="single" w:color="000000" w:sz="8" w:space="0"/>
              <w:right w:val="single" w:color="000000" w:sz="8" w:space="0"/>
            </w:tcBorders>
            <w:shd w:val="clear" w:color="auto" w:fill="auto"/>
            <w:vAlign w:val="center"/>
          </w:tcPr>
          <w:p w14:paraId="14BCAF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偏差原因分析及改进措施</w:t>
            </w:r>
          </w:p>
        </w:tc>
      </w:tr>
      <w:tr w14:paraId="1E9C33F8">
        <w:tblPrEx>
          <w:tblCellMar>
            <w:top w:w="0" w:type="dxa"/>
            <w:left w:w="108" w:type="dxa"/>
            <w:bottom w:w="0" w:type="dxa"/>
            <w:right w:w="108" w:type="dxa"/>
          </w:tblCellMar>
        </w:tblPrEx>
        <w:trPr>
          <w:trHeight w:val="613" w:hRule="atLeast"/>
        </w:trPr>
        <w:tc>
          <w:tcPr>
            <w:tcW w:w="840" w:type="dxa"/>
            <w:vMerge w:val="continue"/>
            <w:tcBorders>
              <w:top w:val="nil"/>
              <w:left w:val="single" w:color="000000" w:sz="8" w:space="0"/>
              <w:bottom w:val="nil"/>
              <w:right w:val="single" w:color="000000" w:sz="8" w:space="0"/>
            </w:tcBorders>
            <w:shd w:val="clear" w:color="auto" w:fill="auto"/>
            <w:textDirection w:val="tbRlV"/>
            <w:vAlign w:val="center"/>
          </w:tcPr>
          <w:p w14:paraId="2B4A14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vMerge w:val="restart"/>
            <w:tcBorders>
              <w:top w:val="nil"/>
              <w:left w:val="nil"/>
              <w:bottom w:val="single" w:color="000000" w:sz="8" w:space="0"/>
              <w:right w:val="single" w:color="000000" w:sz="8" w:space="0"/>
            </w:tcBorders>
            <w:shd w:val="clear" w:color="auto" w:fill="auto"/>
            <w:vAlign w:val="center"/>
          </w:tcPr>
          <w:p w14:paraId="6D0E1A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产出指标</w:t>
            </w:r>
          </w:p>
        </w:tc>
        <w:tc>
          <w:tcPr>
            <w:tcW w:w="595" w:type="dxa"/>
            <w:tcBorders>
              <w:top w:val="nil"/>
              <w:left w:val="nil"/>
              <w:bottom w:val="single" w:color="000000" w:sz="8" w:space="0"/>
              <w:right w:val="single" w:color="000000" w:sz="8" w:space="0"/>
            </w:tcBorders>
            <w:shd w:val="clear" w:color="auto" w:fill="auto"/>
            <w:vAlign w:val="center"/>
          </w:tcPr>
          <w:p w14:paraId="7556FF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数量指标</w:t>
            </w:r>
          </w:p>
        </w:tc>
        <w:tc>
          <w:tcPr>
            <w:tcW w:w="2348" w:type="dxa"/>
            <w:gridSpan w:val="2"/>
            <w:tcBorders>
              <w:top w:val="single" w:color="000000" w:sz="8" w:space="0"/>
              <w:left w:val="nil"/>
              <w:bottom w:val="single" w:color="000000" w:sz="8" w:space="0"/>
              <w:right w:val="single" w:color="000000" w:sz="8" w:space="0"/>
            </w:tcBorders>
            <w:shd w:val="clear" w:color="auto" w:fill="auto"/>
            <w:vAlign w:val="center"/>
          </w:tcPr>
          <w:p w14:paraId="6651A5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更新地下管线长度</w:t>
            </w:r>
          </w:p>
        </w:tc>
        <w:tc>
          <w:tcPr>
            <w:tcW w:w="832" w:type="dxa"/>
            <w:tcBorders>
              <w:top w:val="nil"/>
              <w:left w:val="nil"/>
              <w:bottom w:val="nil"/>
              <w:right w:val="single" w:color="000000" w:sz="8" w:space="0"/>
            </w:tcBorders>
            <w:shd w:val="clear" w:color="auto" w:fill="auto"/>
            <w:vAlign w:val="center"/>
          </w:tcPr>
          <w:p w14:paraId="0E058B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≥20千米</w:t>
            </w:r>
          </w:p>
        </w:tc>
        <w:tc>
          <w:tcPr>
            <w:tcW w:w="936" w:type="dxa"/>
            <w:tcBorders>
              <w:top w:val="nil"/>
              <w:left w:val="nil"/>
              <w:bottom w:val="nil"/>
              <w:right w:val="single" w:color="000000" w:sz="8" w:space="0"/>
            </w:tcBorders>
            <w:shd w:val="clear" w:color="auto" w:fill="auto"/>
            <w:vAlign w:val="center"/>
          </w:tcPr>
          <w:p w14:paraId="68C8A0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121.71千米</w:t>
            </w:r>
          </w:p>
        </w:tc>
        <w:tc>
          <w:tcPr>
            <w:tcW w:w="628" w:type="dxa"/>
            <w:tcBorders>
              <w:top w:val="nil"/>
              <w:left w:val="nil"/>
              <w:bottom w:val="single" w:color="000000" w:sz="8" w:space="0"/>
              <w:right w:val="single" w:color="000000" w:sz="8" w:space="0"/>
            </w:tcBorders>
            <w:shd w:val="clear" w:color="auto" w:fill="auto"/>
            <w:vAlign w:val="center"/>
          </w:tcPr>
          <w:p w14:paraId="79F353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076" w:type="dxa"/>
            <w:tcBorders>
              <w:top w:val="nil"/>
              <w:left w:val="nil"/>
              <w:bottom w:val="single" w:color="000000" w:sz="8" w:space="0"/>
              <w:right w:val="single" w:color="000000" w:sz="8" w:space="0"/>
            </w:tcBorders>
            <w:shd w:val="clear" w:color="auto" w:fill="auto"/>
            <w:vAlign w:val="center"/>
          </w:tcPr>
          <w:p w14:paraId="56F137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105" w:type="dxa"/>
            <w:tcBorders>
              <w:top w:val="single" w:color="000000" w:sz="8" w:space="0"/>
              <w:left w:val="nil"/>
              <w:bottom w:val="single" w:color="000000" w:sz="8" w:space="0"/>
              <w:right w:val="single" w:color="000000" w:sz="8" w:space="0"/>
            </w:tcBorders>
            <w:shd w:val="clear" w:color="auto" w:fill="auto"/>
            <w:vAlign w:val="center"/>
          </w:tcPr>
          <w:p w14:paraId="54D31C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9254E3">
        <w:tblPrEx>
          <w:tblCellMar>
            <w:top w:w="0" w:type="dxa"/>
            <w:left w:w="108" w:type="dxa"/>
            <w:bottom w:w="0" w:type="dxa"/>
            <w:right w:w="108" w:type="dxa"/>
          </w:tblCellMar>
        </w:tblPrEx>
        <w:trPr>
          <w:trHeight w:val="613" w:hRule="atLeast"/>
        </w:trPr>
        <w:tc>
          <w:tcPr>
            <w:tcW w:w="840" w:type="dxa"/>
            <w:vMerge w:val="continue"/>
            <w:tcBorders>
              <w:top w:val="nil"/>
              <w:left w:val="single" w:color="000000" w:sz="8" w:space="0"/>
              <w:bottom w:val="nil"/>
              <w:right w:val="single" w:color="000000" w:sz="8" w:space="0"/>
            </w:tcBorders>
            <w:shd w:val="clear" w:color="auto" w:fill="auto"/>
            <w:textDirection w:val="tbRlV"/>
            <w:vAlign w:val="center"/>
          </w:tcPr>
          <w:p w14:paraId="7E941C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vMerge w:val="continue"/>
            <w:tcBorders>
              <w:top w:val="nil"/>
              <w:left w:val="nil"/>
              <w:bottom w:val="single" w:color="000000" w:sz="8" w:space="0"/>
              <w:right w:val="single" w:color="000000" w:sz="8" w:space="0"/>
            </w:tcBorders>
            <w:shd w:val="clear" w:color="auto" w:fill="auto"/>
            <w:vAlign w:val="center"/>
          </w:tcPr>
          <w:p w14:paraId="34F0C5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95" w:type="dxa"/>
            <w:tcBorders>
              <w:top w:val="nil"/>
              <w:left w:val="nil"/>
              <w:bottom w:val="single" w:color="000000" w:sz="8" w:space="0"/>
              <w:right w:val="single" w:color="000000" w:sz="8" w:space="0"/>
            </w:tcBorders>
            <w:shd w:val="clear" w:color="auto" w:fill="auto"/>
            <w:vAlign w:val="center"/>
          </w:tcPr>
          <w:p w14:paraId="447CE7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质量指标</w:t>
            </w:r>
          </w:p>
        </w:tc>
        <w:tc>
          <w:tcPr>
            <w:tcW w:w="2348" w:type="dxa"/>
            <w:gridSpan w:val="2"/>
            <w:tcBorders>
              <w:top w:val="single" w:color="000000" w:sz="8" w:space="0"/>
              <w:left w:val="nil"/>
              <w:bottom w:val="single" w:color="000000" w:sz="8" w:space="0"/>
              <w:right w:val="single" w:color="000000" w:sz="8" w:space="0"/>
            </w:tcBorders>
            <w:shd w:val="clear" w:color="auto" w:fill="auto"/>
            <w:vAlign w:val="center"/>
          </w:tcPr>
          <w:p w14:paraId="6279B1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支出合规率</w:t>
            </w:r>
          </w:p>
        </w:tc>
        <w:tc>
          <w:tcPr>
            <w:tcW w:w="832" w:type="dxa"/>
            <w:tcBorders>
              <w:top w:val="nil"/>
              <w:left w:val="nil"/>
              <w:bottom w:val="nil"/>
              <w:right w:val="single" w:color="000000" w:sz="8" w:space="0"/>
            </w:tcBorders>
            <w:shd w:val="clear" w:color="auto" w:fill="auto"/>
            <w:vAlign w:val="center"/>
          </w:tcPr>
          <w:p w14:paraId="7C83E8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36" w:type="dxa"/>
            <w:tcBorders>
              <w:top w:val="nil"/>
              <w:left w:val="nil"/>
              <w:bottom w:val="nil"/>
              <w:right w:val="single" w:color="000000" w:sz="8" w:space="0"/>
            </w:tcBorders>
            <w:shd w:val="clear" w:color="auto" w:fill="auto"/>
            <w:noWrap/>
            <w:vAlign w:val="center"/>
          </w:tcPr>
          <w:p w14:paraId="07E173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628" w:type="dxa"/>
            <w:tcBorders>
              <w:top w:val="nil"/>
              <w:left w:val="nil"/>
              <w:bottom w:val="single" w:color="000000" w:sz="8" w:space="0"/>
              <w:right w:val="single" w:color="000000" w:sz="8" w:space="0"/>
            </w:tcBorders>
            <w:shd w:val="clear" w:color="auto" w:fill="auto"/>
            <w:vAlign w:val="center"/>
          </w:tcPr>
          <w:p w14:paraId="3ADBAC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76" w:type="dxa"/>
            <w:tcBorders>
              <w:top w:val="nil"/>
              <w:left w:val="nil"/>
              <w:bottom w:val="single" w:color="000000" w:sz="8" w:space="0"/>
              <w:right w:val="single" w:color="000000" w:sz="8" w:space="0"/>
            </w:tcBorders>
            <w:shd w:val="clear" w:color="auto" w:fill="auto"/>
            <w:vAlign w:val="center"/>
          </w:tcPr>
          <w:p w14:paraId="31BCFE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05" w:type="dxa"/>
            <w:tcBorders>
              <w:top w:val="single" w:color="000000" w:sz="8" w:space="0"/>
              <w:left w:val="nil"/>
              <w:bottom w:val="single" w:color="000000" w:sz="8" w:space="0"/>
              <w:right w:val="single" w:color="000000" w:sz="8" w:space="0"/>
            </w:tcBorders>
            <w:shd w:val="clear" w:color="auto" w:fill="auto"/>
            <w:vAlign w:val="center"/>
          </w:tcPr>
          <w:p w14:paraId="7A78DA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9CCA8B">
        <w:tblPrEx>
          <w:tblCellMar>
            <w:top w:w="0" w:type="dxa"/>
            <w:left w:w="108" w:type="dxa"/>
            <w:bottom w:w="0" w:type="dxa"/>
            <w:right w:w="108" w:type="dxa"/>
          </w:tblCellMar>
        </w:tblPrEx>
        <w:trPr>
          <w:trHeight w:val="90" w:hRule="atLeast"/>
        </w:trPr>
        <w:tc>
          <w:tcPr>
            <w:tcW w:w="840" w:type="dxa"/>
            <w:vMerge w:val="continue"/>
            <w:tcBorders>
              <w:top w:val="nil"/>
              <w:left w:val="single" w:color="000000" w:sz="8" w:space="0"/>
              <w:bottom w:val="nil"/>
              <w:right w:val="single" w:color="000000" w:sz="8" w:space="0"/>
            </w:tcBorders>
            <w:shd w:val="clear" w:color="auto" w:fill="auto"/>
            <w:textDirection w:val="tbRlV"/>
            <w:vAlign w:val="center"/>
          </w:tcPr>
          <w:p w14:paraId="1E0027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vMerge w:val="continue"/>
            <w:tcBorders>
              <w:top w:val="nil"/>
              <w:left w:val="nil"/>
              <w:bottom w:val="single" w:color="000000" w:sz="8" w:space="0"/>
              <w:right w:val="single" w:color="000000" w:sz="8" w:space="0"/>
            </w:tcBorders>
            <w:shd w:val="clear" w:color="auto" w:fill="auto"/>
            <w:vAlign w:val="center"/>
          </w:tcPr>
          <w:p w14:paraId="2369F8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95" w:type="dxa"/>
            <w:tcBorders>
              <w:top w:val="nil"/>
              <w:left w:val="nil"/>
              <w:bottom w:val="single" w:color="000000" w:sz="8" w:space="0"/>
              <w:right w:val="single" w:color="000000" w:sz="8" w:space="0"/>
            </w:tcBorders>
            <w:shd w:val="clear" w:color="auto" w:fill="auto"/>
            <w:vAlign w:val="center"/>
          </w:tcPr>
          <w:p w14:paraId="18AF41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时效指标</w:t>
            </w:r>
          </w:p>
        </w:tc>
        <w:tc>
          <w:tcPr>
            <w:tcW w:w="2348" w:type="dxa"/>
            <w:gridSpan w:val="2"/>
            <w:tcBorders>
              <w:top w:val="single" w:color="000000" w:sz="8" w:space="0"/>
              <w:left w:val="nil"/>
              <w:bottom w:val="single" w:color="000000" w:sz="8" w:space="0"/>
              <w:right w:val="single" w:color="000000" w:sz="8" w:space="0"/>
            </w:tcBorders>
            <w:shd w:val="clear" w:color="auto" w:fill="auto"/>
            <w:vAlign w:val="center"/>
          </w:tcPr>
          <w:p w14:paraId="6141C5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支付及时率</w:t>
            </w:r>
          </w:p>
        </w:tc>
        <w:tc>
          <w:tcPr>
            <w:tcW w:w="832" w:type="dxa"/>
            <w:tcBorders>
              <w:top w:val="nil"/>
              <w:left w:val="nil"/>
              <w:bottom w:val="single" w:color="000000" w:sz="8" w:space="0"/>
              <w:right w:val="single" w:color="000000" w:sz="8" w:space="0"/>
            </w:tcBorders>
            <w:shd w:val="clear" w:color="auto" w:fill="auto"/>
            <w:vAlign w:val="center"/>
          </w:tcPr>
          <w:p w14:paraId="406101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36" w:type="dxa"/>
            <w:tcBorders>
              <w:top w:val="nil"/>
              <w:left w:val="nil"/>
              <w:bottom w:val="single" w:color="000000" w:sz="8" w:space="0"/>
              <w:right w:val="single" w:color="000000" w:sz="8" w:space="0"/>
            </w:tcBorders>
            <w:shd w:val="clear" w:color="auto" w:fill="auto"/>
            <w:noWrap/>
            <w:vAlign w:val="center"/>
          </w:tcPr>
          <w:p w14:paraId="0127CF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628" w:type="dxa"/>
            <w:tcBorders>
              <w:top w:val="nil"/>
              <w:left w:val="nil"/>
              <w:bottom w:val="single" w:color="000000" w:sz="8" w:space="0"/>
              <w:right w:val="single" w:color="000000" w:sz="8" w:space="0"/>
            </w:tcBorders>
            <w:shd w:val="clear" w:color="auto" w:fill="auto"/>
            <w:vAlign w:val="center"/>
          </w:tcPr>
          <w:p w14:paraId="549FA2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76" w:type="dxa"/>
            <w:tcBorders>
              <w:top w:val="nil"/>
              <w:left w:val="nil"/>
              <w:bottom w:val="single" w:color="000000" w:sz="8" w:space="0"/>
              <w:right w:val="single" w:color="000000" w:sz="8" w:space="0"/>
            </w:tcBorders>
            <w:shd w:val="clear" w:color="auto" w:fill="auto"/>
            <w:vAlign w:val="center"/>
          </w:tcPr>
          <w:p w14:paraId="1F172F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05" w:type="dxa"/>
            <w:tcBorders>
              <w:top w:val="single" w:color="000000" w:sz="8" w:space="0"/>
              <w:left w:val="nil"/>
              <w:bottom w:val="single" w:color="000000" w:sz="8" w:space="0"/>
              <w:right w:val="single" w:color="000000" w:sz="8" w:space="0"/>
            </w:tcBorders>
            <w:shd w:val="clear" w:color="auto" w:fill="auto"/>
            <w:vAlign w:val="center"/>
          </w:tcPr>
          <w:p w14:paraId="7DC513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78A036">
        <w:tblPrEx>
          <w:tblCellMar>
            <w:top w:w="0" w:type="dxa"/>
            <w:left w:w="108" w:type="dxa"/>
            <w:bottom w:w="0" w:type="dxa"/>
            <w:right w:w="108" w:type="dxa"/>
          </w:tblCellMar>
        </w:tblPrEx>
        <w:trPr>
          <w:trHeight w:val="554" w:hRule="atLeast"/>
        </w:trPr>
        <w:tc>
          <w:tcPr>
            <w:tcW w:w="840" w:type="dxa"/>
            <w:vMerge w:val="continue"/>
            <w:tcBorders>
              <w:top w:val="nil"/>
              <w:left w:val="single" w:color="000000" w:sz="8" w:space="0"/>
              <w:bottom w:val="nil"/>
              <w:right w:val="single" w:color="000000" w:sz="8" w:space="0"/>
            </w:tcBorders>
            <w:shd w:val="clear" w:color="auto" w:fill="auto"/>
            <w:textDirection w:val="tbRlV"/>
            <w:vAlign w:val="center"/>
          </w:tcPr>
          <w:p w14:paraId="3F18F0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vMerge w:val="continue"/>
            <w:tcBorders>
              <w:top w:val="nil"/>
              <w:left w:val="nil"/>
              <w:right w:val="single" w:color="000000" w:sz="8" w:space="0"/>
            </w:tcBorders>
            <w:shd w:val="clear" w:color="auto" w:fill="auto"/>
            <w:vAlign w:val="center"/>
          </w:tcPr>
          <w:p w14:paraId="4450BB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95" w:type="dxa"/>
            <w:tcBorders>
              <w:top w:val="nil"/>
              <w:left w:val="nil"/>
              <w:bottom w:val="single" w:color="000000" w:sz="8" w:space="0"/>
              <w:right w:val="single" w:color="000000" w:sz="8" w:space="0"/>
            </w:tcBorders>
            <w:shd w:val="clear" w:color="auto" w:fill="auto"/>
            <w:vAlign w:val="center"/>
          </w:tcPr>
          <w:p w14:paraId="2AB004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成本指标</w:t>
            </w:r>
          </w:p>
        </w:tc>
        <w:tc>
          <w:tcPr>
            <w:tcW w:w="2348" w:type="dxa"/>
            <w:gridSpan w:val="2"/>
            <w:tcBorders>
              <w:top w:val="nil"/>
              <w:left w:val="nil"/>
              <w:bottom w:val="single" w:color="000000" w:sz="8" w:space="0"/>
              <w:right w:val="single" w:color="000000" w:sz="8" w:space="0"/>
            </w:tcBorders>
            <w:shd w:val="clear" w:color="auto" w:fill="auto"/>
            <w:vAlign w:val="center"/>
          </w:tcPr>
          <w:p w14:paraId="03BAB6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系统维护成本</w:t>
            </w:r>
          </w:p>
        </w:tc>
        <w:tc>
          <w:tcPr>
            <w:tcW w:w="832" w:type="dxa"/>
            <w:tcBorders>
              <w:top w:val="nil"/>
              <w:left w:val="nil"/>
              <w:bottom w:val="single" w:color="000000" w:sz="8" w:space="0"/>
              <w:right w:val="single" w:color="000000" w:sz="8" w:space="0"/>
            </w:tcBorders>
            <w:shd w:val="clear" w:color="auto" w:fill="auto"/>
            <w:vAlign w:val="center"/>
          </w:tcPr>
          <w:p w14:paraId="79E291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≤50000元</w:t>
            </w:r>
          </w:p>
        </w:tc>
        <w:tc>
          <w:tcPr>
            <w:tcW w:w="936" w:type="dxa"/>
            <w:tcBorders>
              <w:top w:val="nil"/>
              <w:left w:val="nil"/>
              <w:bottom w:val="single" w:color="000000" w:sz="8" w:space="0"/>
              <w:right w:val="single" w:color="000000" w:sz="8" w:space="0"/>
            </w:tcBorders>
            <w:shd w:val="clear" w:color="auto" w:fill="auto"/>
            <w:vAlign w:val="center"/>
          </w:tcPr>
          <w:p w14:paraId="29E67B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50000元</w:t>
            </w:r>
          </w:p>
        </w:tc>
        <w:tc>
          <w:tcPr>
            <w:tcW w:w="628" w:type="dxa"/>
            <w:tcBorders>
              <w:top w:val="nil"/>
              <w:left w:val="nil"/>
              <w:bottom w:val="single" w:color="000000" w:sz="8" w:space="0"/>
              <w:right w:val="single" w:color="000000" w:sz="8" w:space="0"/>
            </w:tcBorders>
            <w:shd w:val="clear" w:color="auto" w:fill="auto"/>
            <w:vAlign w:val="center"/>
          </w:tcPr>
          <w:p w14:paraId="7DF644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76" w:type="dxa"/>
            <w:tcBorders>
              <w:top w:val="nil"/>
              <w:left w:val="nil"/>
              <w:bottom w:val="single" w:color="000000" w:sz="8" w:space="0"/>
              <w:right w:val="single" w:color="000000" w:sz="8" w:space="0"/>
            </w:tcBorders>
            <w:shd w:val="clear" w:color="auto" w:fill="auto"/>
            <w:vAlign w:val="center"/>
          </w:tcPr>
          <w:p w14:paraId="76A13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05" w:type="dxa"/>
            <w:tcBorders>
              <w:top w:val="nil"/>
              <w:left w:val="nil"/>
              <w:bottom w:val="single" w:color="000000" w:sz="8" w:space="0"/>
              <w:right w:val="single" w:color="000000" w:sz="8" w:space="0"/>
            </w:tcBorders>
            <w:shd w:val="clear" w:color="auto" w:fill="auto"/>
            <w:vAlign w:val="center"/>
          </w:tcPr>
          <w:p w14:paraId="033ACD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4F1AD4">
        <w:tblPrEx>
          <w:tblCellMar>
            <w:top w:w="0" w:type="dxa"/>
            <w:left w:w="108" w:type="dxa"/>
            <w:bottom w:w="0" w:type="dxa"/>
            <w:right w:w="108" w:type="dxa"/>
          </w:tblCellMar>
        </w:tblPrEx>
        <w:trPr>
          <w:trHeight w:val="489" w:hRule="atLeast"/>
        </w:trPr>
        <w:tc>
          <w:tcPr>
            <w:tcW w:w="840" w:type="dxa"/>
            <w:vMerge w:val="continue"/>
            <w:tcBorders>
              <w:top w:val="nil"/>
              <w:left w:val="single" w:color="000000" w:sz="8" w:space="0"/>
              <w:bottom w:val="nil"/>
              <w:right w:val="single" w:color="000000" w:sz="8" w:space="0"/>
            </w:tcBorders>
            <w:shd w:val="clear" w:color="auto" w:fill="auto"/>
            <w:textDirection w:val="tbRlV"/>
            <w:vAlign w:val="center"/>
          </w:tcPr>
          <w:p w14:paraId="34A06B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vMerge w:val="restart"/>
            <w:tcBorders>
              <w:left w:val="nil"/>
              <w:right w:val="single" w:color="000000" w:sz="8" w:space="0"/>
            </w:tcBorders>
            <w:shd w:val="clear" w:color="auto" w:fill="auto"/>
            <w:vAlign w:val="center"/>
          </w:tcPr>
          <w:p w14:paraId="276990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效益指标</w:t>
            </w:r>
          </w:p>
        </w:tc>
        <w:tc>
          <w:tcPr>
            <w:tcW w:w="595" w:type="dxa"/>
            <w:tcBorders>
              <w:top w:val="nil"/>
              <w:left w:val="nil"/>
              <w:bottom w:val="single" w:color="000000" w:sz="8" w:space="0"/>
              <w:right w:val="single" w:color="000000" w:sz="8" w:space="0"/>
            </w:tcBorders>
            <w:shd w:val="clear" w:color="auto" w:fill="auto"/>
            <w:vAlign w:val="center"/>
          </w:tcPr>
          <w:p w14:paraId="496B7D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经济效益指标</w:t>
            </w:r>
          </w:p>
        </w:tc>
        <w:tc>
          <w:tcPr>
            <w:tcW w:w="2348" w:type="dxa"/>
            <w:gridSpan w:val="2"/>
            <w:tcBorders>
              <w:top w:val="nil"/>
              <w:left w:val="nil"/>
              <w:bottom w:val="single" w:color="000000" w:sz="8" w:space="0"/>
              <w:right w:val="single" w:color="000000" w:sz="8" w:space="0"/>
            </w:tcBorders>
            <w:shd w:val="clear" w:color="auto" w:fill="auto"/>
            <w:vAlign w:val="center"/>
          </w:tcPr>
          <w:p w14:paraId="4DF202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经济效益</w:t>
            </w:r>
          </w:p>
        </w:tc>
        <w:tc>
          <w:tcPr>
            <w:tcW w:w="832" w:type="dxa"/>
            <w:tcBorders>
              <w:top w:val="nil"/>
              <w:left w:val="nil"/>
              <w:bottom w:val="single" w:color="000000" w:sz="8" w:space="0"/>
              <w:right w:val="single" w:color="000000" w:sz="8" w:space="0"/>
            </w:tcBorders>
            <w:shd w:val="clear" w:color="auto" w:fill="auto"/>
            <w:vAlign w:val="center"/>
          </w:tcPr>
          <w:p w14:paraId="54DBDD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防止反复探测、浪费资金</w:t>
            </w:r>
          </w:p>
        </w:tc>
        <w:tc>
          <w:tcPr>
            <w:tcW w:w="936" w:type="dxa"/>
            <w:tcBorders>
              <w:top w:val="nil"/>
              <w:left w:val="nil"/>
              <w:bottom w:val="single" w:color="000000" w:sz="8" w:space="0"/>
              <w:right w:val="single" w:color="000000" w:sz="8" w:space="0"/>
            </w:tcBorders>
            <w:shd w:val="clear" w:color="auto" w:fill="auto"/>
            <w:vAlign w:val="center"/>
          </w:tcPr>
          <w:p w14:paraId="28E69C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达成预期指标</w:t>
            </w:r>
          </w:p>
        </w:tc>
        <w:tc>
          <w:tcPr>
            <w:tcW w:w="628" w:type="dxa"/>
            <w:tcBorders>
              <w:top w:val="nil"/>
              <w:left w:val="nil"/>
              <w:bottom w:val="single" w:color="000000" w:sz="8" w:space="0"/>
              <w:right w:val="single" w:color="000000" w:sz="8" w:space="0"/>
            </w:tcBorders>
            <w:shd w:val="clear" w:color="auto" w:fill="auto"/>
            <w:vAlign w:val="center"/>
          </w:tcPr>
          <w:p w14:paraId="314EEE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76" w:type="dxa"/>
            <w:tcBorders>
              <w:top w:val="nil"/>
              <w:left w:val="nil"/>
              <w:bottom w:val="single" w:color="000000" w:sz="8" w:space="0"/>
              <w:right w:val="single" w:color="000000" w:sz="8" w:space="0"/>
            </w:tcBorders>
            <w:shd w:val="clear" w:color="auto" w:fill="auto"/>
            <w:vAlign w:val="center"/>
          </w:tcPr>
          <w:p w14:paraId="0637C9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05" w:type="dxa"/>
            <w:tcBorders>
              <w:top w:val="nil"/>
              <w:left w:val="nil"/>
              <w:bottom w:val="single" w:color="000000" w:sz="8" w:space="0"/>
              <w:right w:val="single" w:color="000000" w:sz="8" w:space="0"/>
            </w:tcBorders>
            <w:shd w:val="clear" w:color="auto" w:fill="auto"/>
            <w:vAlign w:val="center"/>
          </w:tcPr>
          <w:p w14:paraId="5D62CC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69841B">
        <w:tblPrEx>
          <w:tblCellMar>
            <w:top w:w="0" w:type="dxa"/>
            <w:left w:w="108" w:type="dxa"/>
            <w:bottom w:w="0" w:type="dxa"/>
            <w:right w:w="108" w:type="dxa"/>
          </w:tblCellMar>
        </w:tblPrEx>
        <w:trPr>
          <w:trHeight w:val="433" w:hRule="atLeast"/>
        </w:trPr>
        <w:tc>
          <w:tcPr>
            <w:tcW w:w="840" w:type="dxa"/>
            <w:vMerge w:val="continue"/>
            <w:tcBorders>
              <w:top w:val="nil"/>
              <w:left w:val="single" w:color="000000" w:sz="8" w:space="0"/>
              <w:bottom w:val="nil"/>
              <w:right w:val="single" w:color="000000" w:sz="8" w:space="0"/>
            </w:tcBorders>
            <w:shd w:val="clear" w:color="auto" w:fill="auto"/>
            <w:textDirection w:val="tbRlV"/>
            <w:vAlign w:val="center"/>
          </w:tcPr>
          <w:p w14:paraId="3BD04B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vMerge w:val="continue"/>
            <w:tcBorders>
              <w:left w:val="nil"/>
              <w:right w:val="single" w:color="000000" w:sz="8" w:space="0"/>
            </w:tcBorders>
            <w:shd w:val="clear" w:color="auto" w:fill="auto"/>
            <w:vAlign w:val="center"/>
          </w:tcPr>
          <w:p w14:paraId="7262D5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95" w:type="dxa"/>
            <w:tcBorders>
              <w:top w:val="nil"/>
              <w:left w:val="nil"/>
              <w:bottom w:val="single" w:color="000000" w:sz="8" w:space="0"/>
              <w:right w:val="single" w:color="000000" w:sz="8" w:space="0"/>
            </w:tcBorders>
            <w:shd w:val="clear" w:color="auto" w:fill="auto"/>
            <w:vAlign w:val="center"/>
          </w:tcPr>
          <w:p w14:paraId="0C35F7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社会效益指标</w:t>
            </w:r>
          </w:p>
        </w:tc>
        <w:tc>
          <w:tcPr>
            <w:tcW w:w="2348" w:type="dxa"/>
            <w:gridSpan w:val="2"/>
            <w:tcBorders>
              <w:top w:val="nil"/>
              <w:left w:val="nil"/>
              <w:bottom w:val="single" w:color="000000" w:sz="8" w:space="0"/>
              <w:right w:val="single" w:color="000000" w:sz="8" w:space="0"/>
            </w:tcBorders>
            <w:shd w:val="clear" w:color="auto" w:fill="auto"/>
            <w:vAlign w:val="center"/>
          </w:tcPr>
          <w:p w14:paraId="4C9000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对保障机构正常运转的影响程度</w:t>
            </w:r>
          </w:p>
        </w:tc>
        <w:tc>
          <w:tcPr>
            <w:tcW w:w="832" w:type="dxa"/>
            <w:tcBorders>
              <w:top w:val="nil"/>
              <w:left w:val="nil"/>
              <w:bottom w:val="single" w:color="000000" w:sz="8" w:space="0"/>
              <w:right w:val="single" w:color="000000" w:sz="8" w:space="0"/>
            </w:tcBorders>
            <w:shd w:val="clear" w:color="auto" w:fill="auto"/>
            <w:vAlign w:val="center"/>
          </w:tcPr>
          <w:p w14:paraId="19CA90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较高</w:t>
            </w:r>
          </w:p>
        </w:tc>
        <w:tc>
          <w:tcPr>
            <w:tcW w:w="936" w:type="dxa"/>
            <w:tcBorders>
              <w:top w:val="nil"/>
              <w:left w:val="nil"/>
              <w:bottom w:val="single" w:color="000000" w:sz="8" w:space="0"/>
              <w:right w:val="single" w:color="000000" w:sz="8" w:space="0"/>
            </w:tcBorders>
            <w:shd w:val="clear" w:color="auto" w:fill="auto"/>
            <w:vAlign w:val="center"/>
          </w:tcPr>
          <w:p w14:paraId="0AAAA2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达成预期指标</w:t>
            </w:r>
          </w:p>
        </w:tc>
        <w:tc>
          <w:tcPr>
            <w:tcW w:w="628" w:type="dxa"/>
            <w:tcBorders>
              <w:top w:val="nil"/>
              <w:left w:val="nil"/>
              <w:bottom w:val="single" w:color="000000" w:sz="8" w:space="0"/>
              <w:right w:val="single" w:color="000000" w:sz="8" w:space="0"/>
            </w:tcBorders>
            <w:shd w:val="clear" w:color="auto" w:fill="auto"/>
            <w:vAlign w:val="center"/>
          </w:tcPr>
          <w:p w14:paraId="7B517D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76" w:type="dxa"/>
            <w:tcBorders>
              <w:top w:val="nil"/>
              <w:left w:val="nil"/>
              <w:bottom w:val="single" w:color="000000" w:sz="8" w:space="0"/>
              <w:right w:val="single" w:color="000000" w:sz="8" w:space="0"/>
            </w:tcBorders>
            <w:shd w:val="clear" w:color="auto" w:fill="auto"/>
            <w:vAlign w:val="center"/>
          </w:tcPr>
          <w:p w14:paraId="5DD1E6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05" w:type="dxa"/>
            <w:tcBorders>
              <w:top w:val="nil"/>
              <w:left w:val="nil"/>
              <w:bottom w:val="single" w:color="000000" w:sz="8" w:space="0"/>
              <w:right w:val="single" w:color="000000" w:sz="8" w:space="0"/>
            </w:tcBorders>
            <w:shd w:val="clear" w:color="auto" w:fill="auto"/>
            <w:vAlign w:val="center"/>
          </w:tcPr>
          <w:p w14:paraId="705C2D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B6B036">
        <w:tblPrEx>
          <w:tblCellMar>
            <w:top w:w="0" w:type="dxa"/>
            <w:left w:w="108" w:type="dxa"/>
            <w:bottom w:w="0" w:type="dxa"/>
            <w:right w:w="108" w:type="dxa"/>
          </w:tblCellMar>
        </w:tblPrEx>
        <w:trPr>
          <w:trHeight w:val="421" w:hRule="atLeast"/>
        </w:trPr>
        <w:tc>
          <w:tcPr>
            <w:tcW w:w="840" w:type="dxa"/>
            <w:vMerge w:val="continue"/>
            <w:tcBorders>
              <w:top w:val="nil"/>
              <w:left w:val="single" w:color="000000" w:sz="8" w:space="0"/>
              <w:bottom w:val="nil"/>
              <w:right w:val="single" w:color="000000" w:sz="8" w:space="0"/>
            </w:tcBorders>
            <w:shd w:val="clear" w:color="auto" w:fill="auto"/>
            <w:textDirection w:val="tbRlV"/>
            <w:vAlign w:val="center"/>
          </w:tcPr>
          <w:p w14:paraId="4F9A17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vMerge w:val="continue"/>
            <w:tcBorders>
              <w:left w:val="nil"/>
              <w:bottom w:val="single" w:color="000000" w:sz="8" w:space="0"/>
              <w:right w:val="single" w:color="000000" w:sz="8" w:space="0"/>
            </w:tcBorders>
            <w:shd w:val="clear" w:color="auto" w:fill="auto"/>
            <w:vAlign w:val="center"/>
          </w:tcPr>
          <w:p w14:paraId="55A0FC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95" w:type="dxa"/>
            <w:tcBorders>
              <w:top w:val="nil"/>
              <w:left w:val="nil"/>
              <w:bottom w:val="single" w:color="000000" w:sz="8" w:space="0"/>
              <w:right w:val="single" w:color="000000" w:sz="8" w:space="0"/>
            </w:tcBorders>
            <w:shd w:val="clear" w:color="auto" w:fill="auto"/>
            <w:vAlign w:val="center"/>
          </w:tcPr>
          <w:p w14:paraId="6178E7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生态效益指标</w:t>
            </w:r>
          </w:p>
        </w:tc>
        <w:tc>
          <w:tcPr>
            <w:tcW w:w="2348" w:type="dxa"/>
            <w:gridSpan w:val="2"/>
            <w:tcBorders>
              <w:top w:val="nil"/>
              <w:left w:val="nil"/>
              <w:bottom w:val="single" w:color="000000" w:sz="8" w:space="0"/>
              <w:right w:val="single" w:color="000000" w:sz="8" w:space="0"/>
            </w:tcBorders>
            <w:shd w:val="clear" w:color="auto" w:fill="auto"/>
            <w:vAlign w:val="center"/>
          </w:tcPr>
          <w:p w14:paraId="6A169B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生态效益</w:t>
            </w:r>
          </w:p>
        </w:tc>
        <w:tc>
          <w:tcPr>
            <w:tcW w:w="832" w:type="dxa"/>
            <w:tcBorders>
              <w:top w:val="nil"/>
              <w:left w:val="nil"/>
              <w:bottom w:val="single" w:color="000000" w:sz="8" w:space="0"/>
              <w:right w:val="single" w:color="000000" w:sz="8" w:space="0"/>
            </w:tcBorders>
            <w:shd w:val="clear" w:color="auto" w:fill="auto"/>
            <w:vAlign w:val="center"/>
          </w:tcPr>
          <w:p w14:paraId="3E0B02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w:t>
            </w:r>
          </w:p>
        </w:tc>
        <w:tc>
          <w:tcPr>
            <w:tcW w:w="936" w:type="dxa"/>
            <w:tcBorders>
              <w:top w:val="nil"/>
              <w:left w:val="nil"/>
              <w:bottom w:val="single" w:color="000000" w:sz="8" w:space="0"/>
              <w:right w:val="single" w:color="000000" w:sz="8" w:space="0"/>
            </w:tcBorders>
            <w:shd w:val="clear" w:color="auto" w:fill="auto"/>
            <w:vAlign w:val="center"/>
          </w:tcPr>
          <w:p w14:paraId="426DE7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达成预期指标</w:t>
            </w:r>
          </w:p>
        </w:tc>
        <w:tc>
          <w:tcPr>
            <w:tcW w:w="628" w:type="dxa"/>
            <w:tcBorders>
              <w:top w:val="nil"/>
              <w:left w:val="nil"/>
              <w:bottom w:val="single" w:color="000000" w:sz="8" w:space="0"/>
              <w:right w:val="single" w:color="000000" w:sz="8" w:space="0"/>
            </w:tcBorders>
            <w:shd w:val="clear" w:color="auto" w:fill="auto"/>
            <w:vAlign w:val="center"/>
          </w:tcPr>
          <w:p w14:paraId="5DC41E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76" w:type="dxa"/>
            <w:tcBorders>
              <w:top w:val="nil"/>
              <w:left w:val="nil"/>
              <w:bottom w:val="single" w:color="000000" w:sz="8" w:space="0"/>
              <w:right w:val="single" w:color="000000" w:sz="8" w:space="0"/>
            </w:tcBorders>
            <w:shd w:val="clear" w:color="auto" w:fill="auto"/>
            <w:vAlign w:val="center"/>
          </w:tcPr>
          <w:p w14:paraId="334E98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105" w:type="dxa"/>
            <w:tcBorders>
              <w:top w:val="nil"/>
              <w:left w:val="nil"/>
              <w:bottom w:val="single" w:color="000000" w:sz="8" w:space="0"/>
              <w:right w:val="single" w:color="000000" w:sz="8" w:space="0"/>
            </w:tcBorders>
            <w:shd w:val="clear" w:color="auto" w:fill="auto"/>
            <w:vAlign w:val="center"/>
          </w:tcPr>
          <w:p w14:paraId="3D0E24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916B2D">
        <w:tblPrEx>
          <w:tblCellMar>
            <w:top w:w="0" w:type="dxa"/>
            <w:left w:w="108" w:type="dxa"/>
            <w:bottom w:w="0" w:type="dxa"/>
            <w:right w:w="108" w:type="dxa"/>
          </w:tblCellMar>
        </w:tblPrEx>
        <w:trPr>
          <w:trHeight w:val="1071" w:hRule="atLeast"/>
        </w:trPr>
        <w:tc>
          <w:tcPr>
            <w:tcW w:w="840" w:type="dxa"/>
            <w:vMerge w:val="continue"/>
            <w:tcBorders>
              <w:top w:val="nil"/>
              <w:left w:val="single" w:color="000000" w:sz="8" w:space="0"/>
              <w:bottom w:val="nil"/>
              <w:right w:val="single" w:color="000000" w:sz="8" w:space="0"/>
            </w:tcBorders>
            <w:shd w:val="clear" w:color="auto" w:fill="auto"/>
            <w:textDirection w:val="tbRlV"/>
            <w:vAlign w:val="center"/>
          </w:tcPr>
          <w:p w14:paraId="2BA6D4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vMerge w:val="continue"/>
            <w:tcBorders>
              <w:top w:val="nil"/>
              <w:left w:val="nil"/>
              <w:right w:val="single" w:color="000000" w:sz="8" w:space="0"/>
            </w:tcBorders>
            <w:shd w:val="clear" w:color="auto" w:fill="auto"/>
            <w:vAlign w:val="center"/>
          </w:tcPr>
          <w:p w14:paraId="7A059D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95" w:type="dxa"/>
            <w:tcBorders>
              <w:top w:val="nil"/>
              <w:left w:val="nil"/>
              <w:bottom w:val="single" w:color="000000" w:sz="8" w:space="0"/>
              <w:right w:val="single" w:color="000000" w:sz="8" w:space="0"/>
            </w:tcBorders>
            <w:shd w:val="clear" w:color="auto" w:fill="auto"/>
            <w:vAlign w:val="center"/>
          </w:tcPr>
          <w:p w14:paraId="372951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可持续影响指标</w:t>
            </w:r>
          </w:p>
        </w:tc>
        <w:tc>
          <w:tcPr>
            <w:tcW w:w="2348" w:type="dxa"/>
            <w:gridSpan w:val="2"/>
            <w:tcBorders>
              <w:top w:val="nil"/>
              <w:left w:val="nil"/>
              <w:bottom w:val="single" w:color="000000" w:sz="8" w:space="0"/>
              <w:right w:val="single" w:color="000000" w:sz="8" w:space="0"/>
            </w:tcBorders>
            <w:shd w:val="clear" w:color="auto" w:fill="auto"/>
            <w:vAlign w:val="center"/>
          </w:tcPr>
          <w:p w14:paraId="06659F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可持续影响</w:t>
            </w:r>
          </w:p>
        </w:tc>
        <w:tc>
          <w:tcPr>
            <w:tcW w:w="832" w:type="dxa"/>
            <w:tcBorders>
              <w:top w:val="nil"/>
              <w:left w:val="nil"/>
              <w:bottom w:val="single" w:color="000000" w:sz="8" w:space="0"/>
              <w:right w:val="single" w:color="000000" w:sz="8" w:space="0"/>
            </w:tcBorders>
            <w:shd w:val="clear" w:color="auto" w:fill="auto"/>
            <w:vAlign w:val="center"/>
          </w:tcPr>
          <w:p w14:paraId="039178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工作生活环境得到改 善</w:t>
            </w:r>
          </w:p>
        </w:tc>
        <w:tc>
          <w:tcPr>
            <w:tcW w:w="936" w:type="dxa"/>
            <w:tcBorders>
              <w:top w:val="nil"/>
              <w:left w:val="nil"/>
              <w:bottom w:val="single" w:color="000000" w:sz="8" w:space="0"/>
              <w:right w:val="single" w:color="000000" w:sz="8" w:space="0"/>
            </w:tcBorders>
            <w:shd w:val="clear" w:color="auto" w:fill="auto"/>
            <w:vAlign w:val="center"/>
          </w:tcPr>
          <w:p w14:paraId="19DAB8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达成预期指标</w:t>
            </w:r>
          </w:p>
        </w:tc>
        <w:tc>
          <w:tcPr>
            <w:tcW w:w="628" w:type="dxa"/>
            <w:tcBorders>
              <w:top w:val="nil"/>
              <w:left w:val="nil"/>
              <w:bottom w:val="single" w:color="000000" w:sz="8" w:space="0"/>
              <w:right w:val="single" w:color="000000" w:sz="8" w:space="0"/>
            </w:tcBorders>
            <w:shd w:val="clear" w:color="auto" w:fill="auto"/>
            <w:vAlign w:val="center"/>
          </w:tcPr>
          <w:p w14:paraId="7978CA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76" w:type="dxa"/>
            <w:tcBorders>
              <w:top w:val="nil"/>
              <w:left w:val="nil"/>
              <w:bottom w:val="single" w:color="000000" w:sz="8" w:space="0"/>
              <w:right w:val="single" w:color="000000" w:sz="8" w:space="0"/>
            </w:tcBorders>
            <w:shd w:val="clear" w:color="auto" w:fill="auto"/>
            <w:vAlign w:val="center"/>
          </w:tcPr>
          <w:p w14:paraId="1AF5B5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05" w:type="dxa"/>
            <w:tcBorders>
              <w:top w:val="nil"/>
              <w:left w:val="nil"/>
              <w:bottom w:val="single" w:color="000000" w:sz="8" w:space="0"/>
              <w:right w:val="single" w:color="000000" w:sz="8" w:space="0"/>
            </w:tcBorders>
            <w:shd w:val="clear" w:color="auto" w:fill="auto"/>
            <w:vAlign w:val="center"/>
          </w:tcPr>
          <w:p w14:paraId="39638E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4B3BDC">
        <w:tblPrEx>
          <w:tblCellMar>
            <w:top w:w="0" w:type="dxa"/>
            <w:left w:w="108" w:type="dxa"/>
            <w:bottom w:w="0" w:type="dxa"/>
            <w:right w:w="108" w:type="dxa"/>
          </w:tblCellMar>
        </w:tblPrEx>
        <w:trPr>
          <w:trHeight w:val="613" w:hRule="atLeast"/>
        </w:trPr>
        <w:tc>
          <w:tcPr>
            <w:tcW w:w="840" w:type="dxa"/>
            <w:vMerge w:val="continue"/>
            <w:tcBorders>
              <w:top w:val="nil"/>
              <w:left w:val="single" w:color="000000" w:sz="8" w:space="0"/>
              <w:bottom w:val="nil"/>
              <w:right w:val="single" w:color="000000" w:sz="8" w:space="0"/>
            </w:tcBorders>
            <w:shd w:val="clear" w:color="auto" w:fill="auto"/>
            <w:textDirection w:val="tbRlV"/>
            <w:vAlign w:val="center"/>
          </w:tcPr>
          <w:p w14:paraId="11A9FF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40" w:type="dxa"/>
            <w:tcBorders>
              <w:left w:val="nil"/>
              <w:right w:val="single" w:color="000000" w:sz="8" w:space="0"/>
            </w:tcBorders>
            <w:shd w:val="clear" w:color="auto" w:fill="auto"/>
            <w:vAlign w:val="center"/>
          </w:tcPr>
          <w:p w14:paraId="65825D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满意度指标</w:t>
            </w:r>
          </w:p>
        </w:tc>
        <w:tc>
          <w:tcPr>
            <w:tcW w:w="595" w:type="dxa"/>
            <w:tcBorders>
              <w:top w:val="nil"/>
              <w:left w:val="nil"/>
              <w:bottom w:val="nil"/>
              <w:right w:val="single" w:color="000000" w:sz="8" w:space="0"/>
            </w:tcBorders>
            <w:shd w:val="clear" w:color="auto" w:fill="auto"/>
            <w:vAlign w:val="center"/>
          </w:tcPr>
          <w:p w14:paraId="7A97C6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满意度指标</w:t>
            </w:r>
          </w:p>
        </w:tc>
        <w:tc>
          <w:tcPr>
            <w:tcW w:w="2348" w:type="dxa"/>
            <w:gridSpan w:val="2"/>
            <w:tcBorders>
              <w:top w:val="nil"/>
              <w:left w:val="nil"/>
              <w:bottom w:val="single" w:color="000000" w:sz="8" w:space="0"/>
              <w:right w:val="single" w:color="000000" w:sz="8" w:space="0"/>
            </w:tcBorders>
            <w:shd w:val="clear" w:color="auto" w:fill="auto"/>
            <w:vAlign w:val="center"/>
          </w:tcPr>
          <w:p w14:paraId="139BBD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满意度</w:t>
            </w:r>
          </w:p>
        </w:tc>
        <w:tc>
          <w:tcPr>
            <w:tcW w:w="832" w:type="dxa"/>
            <w:tcBorders>
              <w:top w:val="nil"/>
              <w:left w:val="nil"/>
              <w:bottom w:val="single" w:color="000000" w:sz="8" w:space="0"/>
              <w:right w:val="single" w:color="000000" w:sz="8" w:space="0"/>
            </w:tcBorders>
            <w:shd w:val="clear" w:color="auto" w:fill="auto"/>
            <w:vAlign w:val="center"/>
          </w:tcPr>
          <w:p w14:paraId="3B3671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936" w:type="dxa"/>
            <w:tcBorders>
              <w:top w:val="nil"/>
              <w:left w:val="nil"/>
              <w:bottom w:val="single" w:color="000000" w:sz="8" w:space="0"/>
              <w:right w:val="single" w:color="000000" w:sz="8" w:space="0"/>
            </w:tcBorders>
            <w:shd w:val="clear" w:color="auto" w:fill="auto"/>
            <w:vAlign w:val="center"/>
          </w:tcPr>
          <w:p w14:paraId="21288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628" w:type="dxa"/>
            <w:tcBorders>
              <w:top w:val="nil"/>
              <w:left w:val="nil"/>
              <w:bottom w:val="single" w:color="000000" w:sz="8" w:space="0"/>
              <w:right w:val="single" w:color="000000" w:sz="8" w:space="0"/>
            </w:tcBorders>
            <w:shd w:val="clear" w:color="auto" w:fill="auto"/>
            <w:vAlign w:val="center"/>
          </w:tcPr>
          <w:p w14:paraId="794CDA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76" w:type="dxa"/>
            <w:tcBorders>
              <w:top w:val="nil"/>
              <w:left w:val="nil"/>
              <w:bottom w:val="single" w:color="000000" w:sz="8" w:space="0"/>
              <w:right w:val="single" w:color="000000" w:sz="8" w:space="0"/>
            </w:tcBorders>
            <w:shd w:val="clear" w:color="auto" w:fill="auto"/>
            <w:vAlign w:val="center"/>
          </w:tcPr>
          <w:p w14:paraId="399A72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05" w:type="dxa"/>
            <w:tcBorders>
              <w:top w:val="nil"/>
              <w:left w:val="nil"/>
              <w:bottom w:val="single" w:color="000000" w:sz="8" w:space="0"/>
              <w:right w:val="single" w:color="000000" w:sz="8" w:space="0"/>
            </w:tcBorders>
            <w:shd w:val="clear" w:color="auto" w:fill="auto"/>
            <w:vAlign w:val="center"/>
          </w:tcPr>
          <w:p w14:paraId="05E25E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60A10E">
        <w:tblPrEx>
          <w:tblCellMar>
            <w:top w:w="0" w:type="dxa"/>
            <w:left w:w="108" w:type="dxa"/>
            <w:bottom w:w="0" w:type="dxa"/>
            <w:right w:w="108" w:type="dxa"/>
          </w:tblCellMar>
        </w:tblPrEx>
        <w:trPr>
          <w:trHeight w:val="90" w:hRule="atLeast"/>
        </w:trPr>
        <w:tc>
          <w:tcPr>
            <w:tcW w:w="5255" w:type="dxa"/>
            <w:gridSpan w:val="6"/>
            <w:tcBorders>
              <w:top w:val="nil"/>
              <w:left w:val="single" w:color="000000" w:sz="8" w:space="0"/>
              <w:bottom w:val="nil"/>
              <w:right w:val="single" w:color="000000" w:sz="8" w:space="0"/>
            </w:tcBorders>
            <w:shd w:val="clear" w:color="auto" w:fill="auto"/>
            <w:vAlign w:val="center"/>
          </w:tcPr>
          <w:p w14:paraId="11334D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总分</w:t>
            </w:r>
          </w:p>
        </w:tc>
        <w:tc>
          <w:tcPr>
            <w:tcW w:w="936" w:type="dxa"/>
            <w:tcBorders>
              <w:top w:val="nil"/>
              <w:left w:val="nil"/>
              <w:bottom w:val="single" w:color="000000" w:sz="8" w:space="0"/>
              <w:right w:val="single" w:color="000000" w:sz="8" w:space="0"/>
            </w:tcBorders>
            <w:shd w:val="clear" w:color="auto" w:fill="auto"/>
            <w:vAlign w:val="center"/>
          </w:tcPr>
          <w:p w14:paraId="552C2B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8" w:type="dxa"/>
            <w:tcBorders>
              <w:top w:val="nil"/>
              <w:left w:val="nil"/>
              <w:bottom w:val="single" w:color="000000" w:sz="8" w:space="0"/>
              <w:right w:val="single" w:color="000000" w:sz="8" w:space="0"/>
            </w:tcBorders>
            <w:shd w:val="clear" w:color="auto" w:fill="auto"/>
            <w:vAlign w:val="center"/>
          </w:tcPr>
          <w:p w14:paraId="213D0A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76" w:type="dxa"/>
            <w:tcBorders>
              <w:top w:val="nil"/>
              <w:left w:val="nil"/>
              <w:bottom w:val="single" w:color="000000" w:sz="8" w:space="0"/>
              <w:right w:val="single" w:color="000000" w:sz="8" w:space="0"/>
            </w:tcBorders>
            <w:shd w:val="clear" w:color="auto" w:fill="auto"/>
            <w:vAlign w:val="center"/>
          </w:tcPr>
          <w:p w14:paraId="7A53E7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w:t>
            </w:r>
          </w:p>
        </w:tc>
        <w:tc>
          <w:tcPr>
            <w:tcW w:w="1105" w:type="dxa"/>
            <w:tcBorders>
              <w:top w:val="nil"/>
              <w:left w:val="nil"/>
              <w:bottom w:val="single" w:color="000000" w:sz="8" w:space="0"/>
              <w:right w:val="single" w:color="000000" w:sz="8" w:space="0"/>
            </w:tcBorders>
            <w:shd w:val="clear" w:color="auto" w:fill="auto"/>
            <w:vAlign w:val="center"/>
          </w:tcPr>
          <w:p w14:paraId="099E6F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3ADC1988">
      <w:pPr>
        <w:pStyle w:val="4"/>
      </w:pPr>
    </w:p>
    <w:p w14:paraId="499109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cs="仿宋_GB2312"/>
          <w:sz w:val="32"/>
          <w:szCs w:val="32"/>
          <w:lang w:eastAsia="zh-CN"/>
        </w:rPr>
        <w:t>所有项目</w:t>
      </w:r>
      <w:r>
        <w:rPr>
          <w:rFonts w:hint="eastAsia" w:ascii="仿宋_GB2312" w:hAnsi="仿宋_GB2312" w:eastAsia="仿宋_GB2312" w:cs="仿宋_GB2312"/>
          <w:sz w:val="32"/>
          <w:szCs w:val="32"/>
          <w:lang w:eastAsia="zh-CN"/>
        </w:rPr>
        <w:t>绩效自评表详见“附件</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lang w:eastAsia="zh-CN"/>
        </w:rPr>
        <w:t>项目支出绩效自评表</w:t>
      </w:r>
      <w:r>
        <w:rPr>
          <w:rFonts w:hint="eastAsia" w:ascii="仿宋_GB2312" w:hAnsi="仿宋_GB2312" w:eastAsia="仿宋_GB2312" w:cs="仿宋_GB2312"/>
          <w:sz w:val="32"/>
          <w:szCs w:val="32"/>
          <w:u w:val="none"/>
          <w:lang w:eastAsia="zh-CN"/>
        </w:rPr>
        <w:t>。</w:t>
      </w:r>
    </w:p>
    <w:p w14:paraId="6A10E228">
      <w:pPr>
        <w:adjustRightInd w:val="0"/>
        <w:snapToGrid w:val="0"/>
        <w:spacing w:line="600" w:lineRule="exact"/>
        <w:ind w:firstLine="2560" w:firstLineChars="800"/>
        <w:rPr>
          <w:rFonts w:hint="eastAsia" w:ascii="黑体" w:hAnsi="黑体" w:eastAsia="黑体"/>
          <w:szCs w:val="32"/>
        </w:rPr>
      </w:pPr>
      <w:r>
        <w:rPr>
          <w:rFonts w:hint="eastAsia" w:ascii="黑体" w:hAnsi="黑体" w:eastAsia="黑体"/>
          <w:szCs w:val="32"/>
        </w:rPr>
        <w:t>第</w:t>
      </w:r>
      <w:r>
        <w:rPr>
          <w:rFonts w:hint="eastAsia" w:ascii="黑体" w:hAnsi="黑体" w:eastAsia="黑体"/>
          <w:szCs w:val="32"/>
          <w:lang w:val="en-US" w:eastAsia="zh-CN"/>
        </w:rPr>
        <w:t>三</w:t>
      </w:r>
      <w:r>
        <w:rPr>
          <w:rFonts w:hint="eastAsia" w:ascii="黑体" w:hAnsi="黑体" w:eastAsia="黑体"/>
          <w:szCs w:val="32"/>
        </w:rPr>
        <w:t>部分 名词解释</w:t>
      </w:r>
    </w:p>
    <w:p w14:paraId="67957C0D">
      <w:pPr>
        <w:adjustRightInd w:val="0"/>
        <w:snapToGrid w:val="0"/>
        <w:spacing w:line="600" w:lineRule="exact"/>
        <w:rPr>
          <w:rFonts w:hint="eastAsia" w:ascii="仿宋_GB2312" w:hAnsi="仿宋"/>
          <w:szCs w:val="32"/>
        </w:rPr>
      </w:pPr>
      <w:r>
        <w:rPr>
          <w:rFonts w:hint="eastAsia" w:ascii="仿宋_GB2312" w:hAnsi="仿宋"/>
          <w:b/>
          <w:szCs w:val="32"/>
          <w:lang w:eastAsia="zh-CN"/>
        </w:rPr>
        <w:t>　　</w:t>
      </w:r>
      <w:r>
        <w:rPr>
          <w:rFonts w:hint="eastAsia" w:ascii="仿宋_GB2312" w:hAnsi="仿宋"/>
          <w:b/>
          <w:szCs w:val="32"/>
        </w:rPr>
        <w:t>一、财政拨款收入：</w:t>
      </w:r>
      <w:r>
        <w:rPr>
          <w:rFonts w:hint="eastAsia" w:ascii="仿宋_GB2312" w:hAnsi="仿宋"/>
          <w:szCs w:val="32"/>
        </w:rPr>
        <w:t>指单位从同级财政</w:t>
      </w:r>
      <w:r>
        <w:rPr>
          <w:rFonts w:hint="eastAsia" w:ascii="仿宋_GB2312" w:hAnsi="仿宋"/>
          <w:szCs w:val="32"/>
          <w:lang w:eastAsia="zh-CN"/>
        </w:rPr>
        <w:t>单位</w:t>
      </w:r>
      <w:r>
        <w:rPr>
          <w:rFonts w:hint="eastAsia" w:ascii="仿宋_GB2312" w:hAnsi="仿宋"/>
          <w:szCs w:val="32"/>
        </w:rPr>
        <w:t>取得的财政预算资金。</w:t>
      </w:r>
    </w:p>
    <w:p w14:paraId="311C7818">
      <w:pPr>
        <w:adjustRightInd w:val="0"/>
        <w:snapToGrid w:val="0"/>
        <w:spacing w:line="600" w:lineRule="exact"/>
        <w:rPr>
          <w:rFonts w:hint="eastAsia" w:ascii="仿宋_GB2312" w:hAnsi="仿宋"/>
          <w:szCs w:val="32"/>
        </w:rPr>
      </w:pPr>
      <w:r>
        <w:rPr>
          <w:rFonts w:hint="eastAsia" w:ascii="仿宋_GB2312" w:hAnsi="黑体"/>
          <w:b/>
          <w:bCs/>
          <w:sz w:val="32"/>
          <w:szCs w:val="32"/>
          <w:lang w:eastAsia="zh-CN"/>
        </w:rPr>
        <w:t>　　</w:t>
      </w:r>
      <w:r>
        <w:rPr>
          <w:rFonts w:hint="eastAsia" w:ascii="仿宋_GB2312" w:hAnsi="黑体" w:eastAsia="仿宋_GB2312"/>
          <w:b/>
          <w:bCs/>
          <w:sz w:val="32"/>
          <w:szCs w:val="32"/>
          <w:lang w:eastAsia="zh-CN"/>
        </w:rPr>
        <w:t>二</w:t>
      </w:r>
      <w:r>
        <w:rPr>
          <w:rFonts w:hint="eastAsia" w:ascii="仿宋_GB2312" w:hAnsi="黑体" w:eastAsia="仿宋_GB2312"/>
          <w:b/>
          <w:sz w:val="32"/>
          <w:szCs w:val="32"/>
        </w:rPr>
        <w:t>、</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w:t>
      </w:r>
      <w:r>
        <w:rPr>
          <w:rFonts w:hint="eastAsia" w:ascii="仿宋_GB2312" w:hAnsi="仿宋"/>
          <w:szCs w:val="32"/>
        </w:rPr>
        <w:t>入。</w:t>
      </w:r>
    </w:p>
    <w:p w14:paraId="39FE9B79">
      <w:pPr>
        <w:adjustRightInd w:val="0"/>
        <w:snapToGrid w:val="0"/>
        <w:spacing w:line="600" w:lineRule="exact"/>
        <w:rPr>
          <w:rFonts w:hint="eastAsia" w:ascii="仿宋_GB2312" w:hAnsi="黑体" w:eastAsia="仿宋_GB2312"/>
          <w:bCs/>
          <w:sz w:val="32"/>
          <w:szCs w:val="32"/>
          <w:lang w:eastAsia="zh-CN"/>
        </w:rPr>
      </w:pPr>
      <w:r>
        <w:rPr>
          <w:rFonts w:hint="eastAsia" w:ascii="仿宋_GB2312" w:hAnsi="黑体"/>
          <w:b/>
          <w:bCs/>
          <w:sz w:val="32"/>
          <w:szCs w:val="32"/>
          <w:lang w:val="en-US" w:eastAsia="zh-CN"/>
        </w:rPr>
        <w:t xml:space="preserve">    三</w:t>
      </w:r>
      <w:r>
        <w:rPr>
          <w:rFonts w:hint="eastAsia" w:ascii="仿宋_GB2312" w:hAnsi="仿宋"/>
          <w:szCs w:val="32"/>
          <w:lang w:eastAsia="zh-CN"/>
        </w:rPr>
        <w:t>、</w:t>
      </w:r>
      <w:r>
        <w:rPr>
          <w:rFonts w:hint="eastAsia" w:ascii="仿宋_GB2312" w:hAnsi="黑体" w:eastAsia="仿宋_GB2312"/>
          <w:b/>
          <w:bCs/>
          <w:sz w:val="32"/>
          <w:szCs w:val="32"/>
          <w:lang w:eastAsia="zh-CN"/>
        </w:rPr>
        <w:t>使用非财政拨款结余：</w:t>
      </w:r>
      <w:r>
        <w:rPr>
          <w:rFonts w:hint="eastAsia" w:ascii="仿宋_GB2312" w:hAnsi="黑体" w:eastAsia="仿宋_GB2312"/>
          <w:bCs/>
          <w:sz w:val="32"/>
          <w:szCs w:val="32"/>
          <w:lang w:eastAsia="zh-CN"/>
        </w:rPr>
        <w:t>指事业单位使用以前年度积累的非财政拨款结余弥补当年收支差额的金额。</w:t>
      </w:r>
    </w:p>
    <w:p w14:paraId="481205CA">
      <w:pPr>
        <w:pStyle w:val="5"/>
        <w:adjustRightInd w:val="0"/>
        <w:snapToGrid w:val="0"/>
        <w:spacing w:before="0" w:beforeAutospacing="0" w:after="0" w:afterAutospacing="0" w:line="600" w:lineRule="exact"/>
        <w:ind w:firstLine="630" w:firstLineChars="196"/>
        <w:rPr>
          <w:rFonts w:hint="eastAsia" w:ascii="仿宋_GB2312" w:hAnsi="黑体" w:eastAsia="仿宋_GB2312"/>
          <w:bCs/>
          <w:sz w:val="32"/>
          <w:szCs w:val="32"/>
        </w:rPr>
      </w:pPr>
      <w:r>
        <w:rPr>
          <w:rFonts w:hint="eastAsia" w:ascii="仿宋_GB2312" w:hAnsi="黑体" w:eastAsia="仿宋_GB2312"/>
          <w:b/>
          <w:bCs/>
          <w:sz w:val="32"/>
          <w:szCs w:val="32"/>
          <w:lang w:eastAsia="zh-CN"/>
        </w:rPr>
        <w:t>四</w:t>
      </w:r>
      <w:r>
        <w:rPr>
          <w:rFonts w:hint="eastAsia" w:ascii="仿宋_GB2312" w:hAnsi="黑体" w:eastAsia="仿宋_GB2312"/>
          <w:b/>
          <w:bCs/>
          <w:sz w:val="32"/>
          <w:szCs w:val="32"/>
        </w:rPr>
        <w:t>、年初结转和结余：</w:t>
      </w:r>
      <w:r>
        <w:rPr>
          <w:rFonts w:hint="eastAsia" w:ascii="仿宋_GB2312" w:hAnsi="黑体" w:eastAsia="仿宋_GB2312"/>
          <w:bCs/>
          <w:sz w:val="32"/>
          <w:szCs w:val="32"/>
        </w:rPr>
        <w:t>指以前年度安排、结转到本年仍按原规定用途继续使用的资金。</w:t>
      </w:r>
    </w:p>
    <w:p w14:paraId="7EB48C8D">
      <w:pPr>
        <w:pStyle w:val="5"/>
        <w:adjustRightInd w:val="0"/>
        <w:snapToGrid w:val="0"/>
        <w:spacing w:before="0" w:beforeAutospacing="0" w:after="0" w:afterAutospacing="0" w:line="600" w:lineRule="exact"/>
        <w:ind w:firstLine="630" w:firstLineChars="196"/>
        <w:rPr>
          <w:rFonts w:hint="eastAsia" w:ascii="仿宋_GB2312" w:hAnsi="黑体" w:eastAsia="仿宋_GB2312"/>
          <w:b/>
          <w:sz w:val="32"/>
          <w:szCs w:val="32"/>
        </w:rPr>
      </w:pPr>
      <w:r>
        <w:rPr>
          <w:rFonts w:hint="eastAsia" w:ascii="仿宋_GB2312" w:hAnsi="黑体" w:eastAsia="仿宋_GB2312"/>
          <w:b/>
          <w:bCs/>
          <w:sz w:val="32"/>
          <w:szCs w:val="32"/>
          <w:lang w:eastAsia="zh-CN"/>
        </w:rPr>
        <w:t>五</w:t>
      </w:r>
      <w:r>
        <w:rPr>
          <w:rFonts w:hint="eastAsia" w:ascii="仿宋_GB2312" w:hAnsi="黑体" w:eastAsia="仿宋_GB2312"/>
          <w:b/>
          <w:bCs/>
          <w:sz w:val="32"/>
          <w:szCs w:val="32"/>
        </w:rPr>
        <w:t>、年末结转和结余：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14:paraId="622A3F0D">
      <w:pPr>
        <w:pStyle w:val="5"/>
        <w:adjustRightInd w:val="0"/>
        <w:snapToGrid w:val="0"/>
        <w:spacing w:before="0" w:beforeAutospacing="0" w:after="0" w:afterAutospacing="0" w:line="600" w:lineRule="exact"/>
        <w:ind w:firstLine="630" w:firstLineChars="196"/>
        <w:rPr>
          <w:rFonts w:hint="eastAsia" w:ascii="仿宋_GB2312" w:hAnsi="黑体" w:eastAsia="仿宋_GB2312"/>
          <w:sz w:val="32"/>
          <w:szCs w:val="32"/>
        </w:rPr>
      </w:pPr>
      <w:r>
        <w:rPr>
          <w:rFonts w:hint="eastAsia" w:ascii="仿宋_GB2312" w:hAnsi="黑体" w:eastAsia="仿宋_GB2312"/>
          <w:b/>
          <w:sz w:val="32"/>
          <w:szCs w:val="32"/>
          <w:lang w:eastAsia="zh-CN"/>
        </w:rPr>
        <w:t>六</w:t>
      </w:r>
      <w:r>
        <w:rPr>
          <w:rFonts w:hint="eastAsia" w:ascii="仿宋_GB2312" w:hAnsi="黑体" w:eastAsia="仿宋_GB2312"/>
          <w:b/>
          <w:sz w:val="32"/>
          <w:szCs w:val="32"/>
        </w:rPr>
        <w:t>、基本支出：</w:t>
      </w:r>
      <w:r>
        <w:rPr>
          <w:rFonts w:hint="eastAsia" w:ascii="仿宋_GB2312" w:hAnsi="黑体" w:eastAsia="仿宋_GB2312"/>
          <w:sz w:val="32"/>
          <w:szCs w:val="32"/>
        </w:rPr>
        <w:t>指单位为保障其机构正常运转、完成日常工作任务而发生的人员支出和公用支出。</w:t>
      </w:r>
    </w:p>
    <w:p w14:paraId="01A78018">
      <w:pPr>
        <w:pStyle w:val="5"/>
        <w:spacing w:before="0" w:beforeAutospacing="0" w:after="0" w:afterAutospacing="0" w:line="600" w:lineRule="exact"/>
        <w:ind w:firstLine="630" w:firstLineChars="196"/>
        <w:jc w:val="both"/>
        <w:rPr>
          <w:rFonts w:hint="eastAsia" w:ascii="仿宋_GB2312" w:hAnsi="黑体" w:eastAsia="仿宋_GB2312"/>
          <w:sz w:val="32"/>
          <w:szCs w:val="32"/>
        </w:rPr>
      </w:pPr>
      <w:r>
        <w:rPr>
          <w:rFonts w:hint="eastAsia" w:ascii="仿宋_GB2312" w:hAnsi="黑体" w:eastAsia="仿宋_GB2312"/>
          <w:b/>
          <w:sz w:val="32"/>
          <w:szCs w:val="32"/>
          <w:lang w:eastAsia="zh-CN"/>
        </w:rPr>
        <w:t>七</w:t>
      </w:r>
      <w:r>
        <w:rPr>
          <w:rFonts w:hint="eastAsia" w:ascii="仿宋_GB2312" w:hAnsi="黑体" w:eastAsia="仿宋_GB2312"/>
          <w:b/>
          <w:sz w:val="32"/>
          <w:szCs w:val="32"/>
        </w:rPr>
        <w:t>、项目支出：</w:t>
      </w:r>
      <w:r>
        <w:rPr>
          <w:rFonts w:hint="eastAsia" w:ascii="仿宋_GB2312" w:hAnsi="黑体" w:eastAsia="仿宋_GB2312"/>
          <w:sz w:val="32"/>
          <w:szCs w:val="32"/>
        </w:rPr>
        <w:t>指单位为完成特定行政任务和事业发展目标在基本支出之外所发生的支出。</w:t>
      </w:r>
    </w:p>
    <w:p w14:paraId="2EA3A7B4">
      <w:pPr>
        <w:pStyle w:val="5"/>
        <w:spacing w:before="0" w:beforeAutospacing="0" w:after="0" w:afterAutospacing="0" w:line="600" w:lineRule="exact"/>
        <w:ind w:firstLine="630" w:firstLineChars="196"/>
        <w:jc w:val="both"/>
        <w:rPr>
          <w:rFonts w:hint="eastAsia" w:ascii="仿宋_GB2312" w:hAnsi="黑体" w:eastAsia="仿宋_GB2312"/>
          <w:b/>
          <w:sz w:val="32"/>
          <w:szCs w:val="32"/>
        </w:rPr>
      </w:pPr>
      <w:r>
        <w:rPr>
          <w:rFonts w:hint="eastAsia" w:ascii="仿宋_GB2312" w:hAnsi="黑体" w:eastAsia="仿宋_GB2312"/>
          <w:b/>
          <w:sz w:val="32"/>
          <w:szCs w:val="32"/>
          <w:lang w:eastAsia="zh-CN"/>
        </w:rPr>
        <w:t>八</w:t>
      </w:r>
      <w:r>
        <w:rPr>
          <w:rFonts w:hint="eastAsia" w:ascii="仿宋_GB2312" w:hAnsi="黑体" w:eastAsia="仿宋_GB2312"/>
          <w:b/>
          <w:sz w:val="32"/>
          <w:szCs w:val="32"/>
        </w:rPr>
        <w:t>、“三公”经费：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14:paraId="0C303272">
      <w:pPr>
        <w:pStyle w:val="5"/>
        <w:spacing w:before="0" w:beforeAutospacing="0" w:after="0" w:afterAutospacing="0" w:line="600" w:lineRule="exact"/>
        <w:ind w:firstLine="630" w:firstLineChars="196"/>
        <w:jc w:val="both"/>
        <w:rPr>
          <w:rFonts w:hint="eastAsia" w:ascii="楷体_GB2312" w:hAnsi="Times New Roman" w:eastAsia="楷体_GB2312"/>
          <w:kern w:val="2"/>
          <w:sz w:val="32"/>
          <w:szCs w:val="32"/>
          <w:lang w:eastAsia="zh-CN"/>
        </w:rPr>
      </w:pPr>
      <w:r>
        <w:rPr>
          <w:rFonts w:hint="eastAsia" w:ascii="仿宋_GB2312" w:hAnsi="黑体" w:eastAsia="仿宋_GB2312"/>
          <w:b/>
          <w:sz w:val="32"/>
          <w:szCs w:val="32"/>
          <w:lang w:eastAsia="zh-CN"/>
        </w:rPr>
        <w:t>九</w:t>
      </w:r>
      <w:r>
        <w:rPr>
          <w:rFonts w:hint="eastAsia" w:ascii="仿宋_GB2312" w:hAnsi="黑体" w:eastAsia="仿宋_GB2312"/>
          <w:b/>
          <w:sz w:val="32"/>
          <w:szCs w:val="32"/>
        </w:rPr>
        <w:t>、机关运行经费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5C0423BB">
      <w:pPr>
        <w:adjustRightInd w:val="0"/>
        <w:snapToGrid w:val="0"/>
        <w:spacing w:line="600" w:lineRule="exact"/>
        <w:ind w:firstLine="640" w:firstLineChars="200"/>
        <w:rPr>
          <w:rFonts w:hint="eastAsia" w:ascii="黑体" w:hAnsi="黑体" w:eastAsia="黑体"/>
          <w:szCs w:val="32"/>
          <w:lang w:eastAsia="zh-CN"/>
        </w:rPr>
      </w:pPr>
    </w:p>
    <w:p w14:paraId="37EB507D">
      <w:pPr>
        <w:adjustRightInd w:val="0"/>
        <w:snapToGrid w:val="0"/>
        <w:spacing w:line="600" w:lineRule="exact"/>
        <w:ind w:firstLine="640" w:firstLineChars="200"/>
        <w:rPr>
          <w:rFonts w:hint="eastAsia" w:ascii="仿宋_GB2312" w:hAnsi="仿宋_GB2312" w:eastAsia="仿宋_GB2312" w:cs="仿宋_GB2312"/>
          <w:szCs w:val="32"/>
          <w:lang w:eastAsia="zh-CN"/>
        </w:rPr>
      </w:pPr>
      <w:r>
        <w:rPr>
          <w:rFonts w:hint="eastAsia" w:ascii="黑体" w:hAnsi="黑体" w:eastAsia="黑体"/>
          <w:szCs w:val="32"/>
          <w:lang w:eastAsia="zh-CN"/>
        </w:rPr>
        <w:t>附件：</w:t>
      </w:r>
      <w:r>
        <w:rPr>
          <w:rFonts w:hint="eastAsia" w:ascii="仿宋_GB2312" w:hAnsi="仿宋_GB2312" w:eastAsia="仿宋_GB2312" w:cs="仿宋_GB2312"/>
          <w:szCs w:val="32"/>
          <w:lang w:eastAsia="zh-CN"/>
        </w:rPr>
        <w:t>1.淮北市</w:t>
      </w:r>
      <w:r>
        <w:rPr>
          <w:rFonts w:hint="eastAsia" w:ascii="仿宋_GB2312" w:hAnsi="仿宋_GB2312" w:cs="仿宋_GB2312"/>
          <w:szCs w:val="32"/>
          <w:lang w:eastAsia="zh-CN"/>
        </w:rPr>
        <w:t>城市建设档案馆</w:t>
      </w:r>
      <w:r>
        <w:rPr>
          <w:rFonts w:hint="eastAsia" w:ascii="仿宋_GB2312" w:hAnsi="仿宋_GB2312" w:eastAsia="仿宋_GB2312" w:cs="仿宋_GB2312"/>
          <w:szCs w:val="32"/>
          <w:lang w:eastAsia="zh-CN"/>
        </w:rPr>
        <w:t>2023年度单位决算表</w:t>
      </w:r>
    </w:p>
    <w:p w14:paraId="15FD5401">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Cs w:val="32"/>
          <w:lang w:eastAsia="zh-CN"/>
        </w:rPr>
        <w:t xml:space="preserve">      2.2023年度项目支出绩效自评表</w:t>
      </w:r>
    </w:p>
    <w:p w14:paraId="1BC0E5D8">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p>
    <w:p w14:paraId="3CD2FE80">
      <w:pPr>
        <w:adjustRightInd w:val="0"/>
        <w:snapToGrid w:val="0"/>
        <w:spacing w:line="600" w:lineRule="exact"/>
        <w:ind w:firstLine="640" w:firstLineChars="200"/>
        <w:rPr>
          <w:rFonts w:hint="eastAsia" w:ascii="仿宋_GB2312" w:hAnsi="仿宋_GB2312" w:eastAsia="仿宋_GB2312" w:cs="仿宋_GB2312"/>
          <w:bCs/>
          <w:sz w:val="32"/>
          <w:szCs w:val="32"/>
          <w:lang w:val="en-US" w:eastAsia="zh-CN"/>
        </w:rPr>
      </w:pPr>
    </w:p>
    <w:p w14:paraId="62A7DD64">
      <w:pPr>
        <w:spacing w:line="560" w:lineRule="exact"/>
        <w:ind w:firstLine="640"/>
        <w:rPr>
          <w:rFonts w:hint="eastAsia" w:ascii="宋体" w:hAnsi="宋体"/>
          <w:b/>
          <w:sz w:val="36"/>
          <w:szCs w:val="36"/>
        </w:rPr>
      </w:pPr>
    </w:p>
    <w:p w14:paraId="395729A7">
      <w:pPr>
        <w:ind w:left="1700" w:leftChars="250" w:hanging="900" w:hangingChars="249"/>
        <w:jc w:val="center"/>
        <w:rPr>
          <w:rFonts w:hint="eastAsia" w:ascii="宋体" w:hAnsi="宋体"/>
          <w:b/>
          <w:sz w:val="36"/>
          <w:szCs w:val="36"/>
        </w:rPr>
      </w:pPr>
    </w:p>
    <w:p w14:paraId="6665CCC2">
      <w:pPr>
        <w:ind w:left="1700" w:leftChars="250" w:hanging="900" w:hangingChars="249"/>
        <w:jc w:val="center"/>
        <w:rPr>
          <w:rFonts w:hint="eastAsia" w:ascii="宋体" w:hAnsi="宋体"/>
          <w:b/>
          <w:sz w:val="36"/>
          <w:szCs w:val="36"/>
        </w:rPr>
      </w:pPr>
    </w:p>
    <w:p w14:paraId="0DE747F8">
      <w:pPr>
        <w:ind w:left="1700" w:leftChars="250" w:hanging="900" w:hangingChars="249"/>
        <w:jc w:val="center"/>
        <w:rPr>
          <w:rFonts w:hint="eastAsia" w:ascii="宋体" w:hAnsi="宋体"/>
          <w:b/>
          <w:sz w:val="36"/>
          <w:szCs w:val="36"/>
        </w:rPr>
      </w:pPr>
    </w:p>
    <w:p w14:paraId="3850E710">
      <w:pPr>
        <w:jc w:val="both"/>
        <w:rPr>
          <w:rFonts w:hint="eastAsia" w:ascii="仿宋" w:hAnsi="仿宋" w:eastAsia="仿宋" w:cs="仿宋"/>
          <w:b w:val="0"/>
          <w:bCs/>
          <w:sz w:val="32"/>
          <w:szCs w:val="32"/>
          <w:lang w:val="en-US" w:eastAsia="zh-CN"/>
        </w:rPr>
      </w:pPr>
    </w:p>
    <w:p w14:paraId="51EDF637">
      <w:pPr>
        <w:jc w:val="both"/>
        <w:rPr>
          <w:rFonts w:hint="default" w:ascii="黑体" w:hAnsi="黑体" w:eastAsia="黑体" w:cs="黑体"/>
          <w:b w:val="0"/>
          <w:bCs/>
          <w:sz w:val="32"/>
          <w:szCs w:val="32"/>
          <w:lang w:val="en-US" w:eastAsia="zh-CN"/>
        </w:rPr>
      </w:pPr>
    </w:p>
    <w:p w14:paraId="6E8610A8">
      <w:pPr>
        <w:jc w:val="center"/>
        <w:rPr>
          <w:rFonts w:hint="eastAsia" w:ascii="宋体" w:hAnsi="宋体"/>
          <w:b/>
          <w:sz w:val="36"/>
          <w:szCs w:val="36"/>
          <w:lang w:eastAsia="zh-CN"/>
        </w:rPr>
      </w:pPr>
    </w:p>
    <w:p w14:paraId="0D7B06E5">
      <w:pPr>
        <w:jc w:val="center"/>
        <w:rPr>
          <w:rFonts w:hint="eastAsia" w:ascii="宋体" w:hAnsi="宋体"/>
          <w:b/>
          <w:sz w:val="36"/>
          <w:szCs w:val="36"/>
          <w:lang w:eastAsia="zh-CN"/>
        </w:rPr>
      </w:pPr>
    </w:p>
    <w:p w14:paraId="103CAEE8">
      <w:pPr>
        <w:jc w:val="center"/>
        <w:rPr>
          <w:rFonts w:hint="eastAsia" w:ascii="宋体" w:hAnsi="宋体"/>
          <w:b/>
          <w:sz w:val="36"/>
          <w:szCs w:val="36"/>
          <w:lang w:eastAsia="zh-CN"/>
        </w:rPr>
      </w:pPr>
    </w:p>
    <w:p w14:paraId="4AB47ECD">
      <w:pPr>
        <w:pStyle w:val="4"/>
        <w:jc w:val="both"/>
        <w:rPr>
          <w:rFonts w:hint="eastAsia" w:ascii="仿宋_GB2312" w:eastAsia="仿宋_GB2312"/>
          <w:sz w:val="32"/>
        </w:rPr>
      </w:pPr>
    </w:p>
    <w:p w14:paraId="114BEA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107CEB-B8A4-4225-92BD-B775F1AF2D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0B5C73A-6ECB-4003-9F01-2F0631464766}"/>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8EA4C523-D27E-425F-9F3C-E35A438AD72A}"/>
  </w:font>
  <w:font w:name="方正小标宋简体">
    <w:panose1 w:val="02000000000000000000"/>
    <w:charset w:val="86"/>
    <w:family w:val="script"/>
    <w:pitch w:val="default"/>
    <w:sig w:usb0="00000001" w:usb1="08000000" w:usb2="00000000" w:usb3="00000000" w:csb0="00040000" w:csb1="00000000"/>
    <w:embedRegular r:id="rId4" w:fontKey="{3BE73719-5902-4F62-BD3A-4596B3079C3B}"/>
  </w:font>
  <w:font w:name="仿宋">
    <w:panose1 w:val="02010609060101010101"/>
    <w:charset w:val="86"/>
    <w:family w:val="auto"/>
    <w:pitch w:val="default"/>
    <w:sig w:usb0="800002BF" w:usb1="38CF7CFA" w:usb2="00000016" w:usb3="00000000" w:csb0="00040001" w:csb1="00000000"/>
    <w:embedRegular r:id="rId5" w:fontKey="{57B2749C-C90C-462F-A71F-2955D39E082F}"/>
  </w:font>
  <w:font w:name="楷体_GB2312">
    <w:panose1 w:val="02010609030101010101"/>
    <w:charset w:val="86"/>
    <w:family w:val="modern"/>
    <w:pitch w:val="default"/>
    <w:sig w:usb0="00000001" w:usb1="080E0000" w:usb2="00000000" w:usb3="00000000" w:csb0="00040000" w:csb1="00000000"/>
    <w:embedRegular r:id="rId6" w:fontKey="{EFD7703F-6D8E-482D-8431-F138232775C8}"/>
  </w:font>
  <w:font w:name="楷体">
    <w:panose1 w:val="02010609060101010101"/>
    <w:charset w:val="86"/>
    <w:family w:val="auto"/>
    <w:pitch w:val="default"/>
    <w:sig w:usb0="800002BF" w:usb1="38CF7CFA" w:usb2="00000016" w:usb3="00000000" w:csb0="00040001" w:csb1="00000000"/>
    <w:embedRegular r:id="rId7" w:fontKey="{AE99988F-775B-456A-8B9F-4F1564D2BE2A}"/>
  </w:font>
  <w:font w:name="方正仿宋_GB2312">
    <w:panose1 w:val="02000000000000000000"/>
    <w:charset w:val="86"/>
    <w:family w:val="auto"/>
    <w:pitch w:val="default"/>
    <w:sig w:usb0="A00002BF" w:usb1="184F6CFA" w:usb2="00000012" w:usb3="00000000" w:csb0="00040001" w:csb1="00000000"/>
    <w:embedRegular r:id="rId8" w:fontKey="{5C284534-112F-44DA-A619-C41B22CE6E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NzA5ODc4NzQ0ZjczMzRlMmUyOTE2ZGJlMmY2NzMifQ=="/>
  </w:docVars>
  <w:rsids>
    <w:rsidRoot w:val="094E055E"/>
    <w:rsid w:val="094E055E"/>
    <w:rsid w:val="0A0A2FE0"/>
    <w:rsid w:val="1BAA5D70"/>
    <w:rsid w:val="1C476CA9"/>
    <w:rsid w:val="31AB4BA4"/>
    <w:rsid w:val="32713478"/>
    <w:rsid w:val="4536208C"/>
    <w:rsid w:val="4CCF550D"/>
    <w:rsid w:val="62475A4D"/>
    <w:rsid w:val="FEFF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rFonts w:eastAsia="黑体"/>
      <w:sz w:val="36"/>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4976</Words>
  <Characters>5591</Characters>
  <Lines>0</Lines>
  <Paragraphs>0</Paragraphs>
  <TotalTime>1</TotalTime>
  <ScaleCrop>false</ScaleCrop>
  <LinksUpToDate>false</LinksUpToDate>
  <CharactersWithSpaces>5650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2024-09-24T19:44:00Z</dcterms:created>
  <dc:creator>城建档案馆</dc:creator>
  <cp:lastModifiedBy>城建档案馆</cp:lastModifiedBy>
  <dcterms:modified xsi:type="dcterms:W3CDTF">2024-12-19T01:20:47Z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CB8F91E789504074887E64085F043AEA_13</vt:lpwstr>
  </property>
</Properties>
</file>