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淮北市市政工程管理处2024年</w:t>
      </w:r>
    </w:p>
    <w:p>
      <w:pPr>
        <w:spacing w:line="560" w:lineRule="exact"/>
        <w:jc w:val="center"/>
      </w:pPr>
      <w:r>
        <w:rPr>
          <w:rFonts w:hint="eastAsia" w:ascii="TimesNewRoman" w:hAnsi="TimesNewRoman" w:eastAsia="华文中宋" w:cs="TimesNewRoman"/>
          <w:b/>
          <w:sz w:val="44"/>
          <w:szCs w:val="44"/>
        </w:rPr>
        <w:t>单位预算</w:t>
      </w:r>
    </w:p>
    <w:p/>
    <w:p/>
    <w:p/>
    <w:p/>
    <w:p/>
    <w:p/>
    <w:p/>
    <w:p/>
    <w:p/>
    <w:p/>
    <w:p/>
    <w:p/>
    <w:p/>
    <w:p/>
    <w:p/>
    <w:p/>
    <w:p/>
    <w:p/>
    <w:p/>
    <w:p/>
    <w:p/>
    <w:p>
      <w:pPr>
        <w:pStyle w:val="5"/>
        <w:adjustRightInd w:val="0"/>
        <w:snapToGrid w:val="0"/>
        <w:spacing w:line="560" w:lineRule="exact"/>
        <w:jc w:val="center"/>
        <w:rPr>
          <w:rFonts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2024年3月</w:t>
      </w:r>
    </w:p>
    <w:p/>
    <w:p/>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2024年单位预算表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1、淮北市市政工程管理处2024年收支总表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2、淮北市市政工程管理处2024年收入总表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3、淮北市市政工程管理处2024年支出总表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4、淮北市市政工程管理处2024年财政拨款收支总表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5、淮北市市政工程管理处2024年一般公共预算支出表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6、淮北市市政工程管理处2024年一般公共预算基本支出表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7、淮北市市政工程管理处2024年政府性基金预算支出表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8、淮北市市政工程管理处2024年国有资本经营预算支出表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9、淮北市市政工程管理处2024年项目支出表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10、淮北市市政工程管理处2024年政府采购支出表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11、淮北市市政工程管理处2024年政府购买服务支出表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12、淮北市市政工程管理处</w:t>
      </w:r>
      <w:r>
        <w:rPr>
          <w:rFonts w:ascii="TimesNewRoman" w:hAnsi="TimesNewRoman" w:eastAsia="仿宋_GB2312" w:cs="TimesNewRoman"/>
          <w:bCs/>
          <w:sz w:val="32"/>
          <w:szCs w:val="32"/>
        </w:rPr>
        <w:t>2024年通用资产配置支出表</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2024年单位预算情况说明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1、淮北市市政工程管理处2024年部门预算纳入绩效考评项目表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2、淮北市市政工程管理处2024年部门预算专项资金管理清单（专栏公开）</w:t>
      </w:r>
    </w:p>
    <w:p>
      <w:pPr>
        <w:pStyle w:val="5"/>
        <w:adjustRightInd w:val="0"/>
        <w:snapToGrid w:val="0"/>
        <w:spacing w:line="400" w:lineRule="exact"/>
        <w:ind w:firstLine="800" w:firstLineChars="250"/>
        <w:rPr>
          <w:rFonts w:ascii="TimesNewRoman" w:hAnsi="TimesNewRoman" w:eastAsia="仿宋_GB2312" w:cs="TimesNewRoman"/>
          <w:bCs/>
          <w:sz w:val="32"/>
          <w:szCs w:val="32"/>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根据《关于调整市住建局事业单位机构编制事项的批复》文件规定，淮北市市政工程管理处主要职责是：</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1、组织实施市政设施建设管理规划和年度建设计划。</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2、承担城市道路、桥隧、排水、路灯等市政设施的建设、改扩建及日常管理维护工作。</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3、参与城市市政设施项目工程建设的设计方案审查、质量监督和竣工验收备案。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4、组织推广应用市政工程新技术、新材料、新设备。</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5、完成上级部门交办的其他任务。</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淮北市市政工程管理处</w:t>
      </w:r>
      <w:r>
        <w:rPr>
          <w:rFonts w:hint="eastAsia" w:ascii="TimesNewRoman" w:hAnsi="TimesNewRoman" w:eastAsia="仿宋_GB2312" w:cs="TimesNewRoman"/>
          <w:sz w:val="32"/>
          <w:szCs w:val="32"/>
        </w:rPr>
        <w:t>2024年度单位预算仅包括处本级预算，无其他下属单位预算。</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pPr>
        <w:ind w:firstLine="640" w:firstLineChars="200"/>
        <w:rPr>
          <w:rFonts w:ascii="仿宋_GB2312" w:eastAsia="仿宋_GB2312"/>
          <w:sz w:val="32"/>
          <w:szCs w:val="32"/>
        </w:rPr>
      </w:pPr>
      <w:r>
        <w:rPr>
          <w:rFonts w:hint="eastAsia" w:ascii="TimesNewRoman" w:hAnsi="TimesNewRoman" w:eastAsia="仿宋_GB2312" w:cs="TimesNewRoman"/>
          <w:bCs/>
          <w:sz w:val="32"/>
          <w:szCs w:val="32"/>
        </w:rPr>
        <w:t>（一）</w:t>
      </w:r>
      <w:r>
        <w:rPr>
          <w:rFonts w:hint="eastAsia" w:ascii="仿宋_GB2312" w:eastAsia="仿宋_GB2312"/>
          <w:sz w:val="32"/>
          <w:szCs w:val="32"/>
        </w:rPr>
        <w:t>全市范围内的人行道维修工程、沥青路面维修工程；</w:t>
      </w:r>
    </w:p>
    <w:p>
      <w:pPr>
        <w:ind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（二）市政排水清淤工程、泵站设备保养及维修工程、泵站附属设施维修工程、市政排水窨井盖整治工程；</w:t>
      </w:r>
    </w:p>
    <w:p>
      <w:pPr>
        <w:ind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（三）公交候车亭维修、管养项目；</w:t>
      </w:r>
    </w:p>
    <w:p>
      <w:pPr>
        <w:ind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（四）桥梁检测维修工程；</w:t>
      </w:r>
    </w:p>
    <w:p>
      <w:pPr>
        <w:ind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（五）市政亮化设施维护项目、全市辖区内路灯电费及管养维护项目；</w:t>
      </w:r>
    </w:p>
    <w:p>
      <w:pPr>
        <w:ind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（六）市政设施应急抢修项目、文明创建项目；</w:t>
      </w:r>
    </w:p>
    <w:p>
      <w:pPr>
        <w:ind w:firstLine="640" w:firstLineChars="200"/>
        <w:rPr>
          <w:rFonts w:ascii="仿宋_GB2312" w:eastAsia="仿宋_GB2312"/>
          <w:sz w:val="32"/>
          <w:szCs w:val="32"/>
        </w:rPr>
      </w:pPr>
      <w:r>
        <w:rPr>
          <w:rFonts w:hint="eastAsia" w:ascii="TimesNewRoman" w:hAnsi="TimesNewRoman" w:eastAsia="仿宋_GB2312" w:cs="TimesNewRoman"/>
          <w:bCs/>
          <w:sz w:val="32"/>
          <w:szCs w:val="32"/>
        </w:rPr>
        <w:t>（七）望湖路梧桐路交口贯通工程、占用挖掘修复费用、历年尚未支付的工程欠款等。</w:t>
      </w:r>
    </w:p>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淮北市市政工程管理处2024年单位预算表</w:t>
      </w:r>
    </w:p>
    <w:p>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淮北市市政工程管理处2024年单位预算情况说明</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市政工程管理处所有收入和支出均纳入单位预算管理。淮北市市政工程管理处2024年收支总预算5923.23万元，收入包括一般公共预算拨款收入4423.23万元、政府性基金预算拨款收入1500万元，支出包括：社会保障和就业支出438.61万元、卫生健康支出53.05万元、城乡社区支出5206.65万元、住房保障支出224.92万元。</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淮北市市政工程管理处2024年收入预算5923.23万元，其中，本年收入5923.23万元。</w:t>
      </w:r>
    </w:p>
    <w:p>
      <w:pPr>
        <w:ind w:firstLine="643"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
          <w:kern w:val="0"/>
          <w:sz w:val="32"/>
          <w:szCs w:val="32"/>
        </w:rPr>
        <w:t>（一）本年收入5923.23万元，</w:t>
      </w:r>
      <w:r>
        <w:rPr>
          <w:rFonts w:hint="eastAsia" w:ascii="TimesNewRoman" w:hAnsi="TimesNewRoman" w:eastAsia="仿宋_GB2312" w:cs="TimesNewRoman"/>
          <w:kern w:val="0"/>
          <w:sz w:val="32"/>
          <w:szCs w:val="32"/>
        </w:rPr>
        <w:t>主要包括：一般公共预算拨款收入4423.23万元，占74.67%，比2023年预算4110.22增加113.01万元，增长2.71%，原因主要是</w:t>
      </w:r>
      <w:r>
        <w:rPr>
          <w:rFonts w:hint="eastAsia" w:ascii="仿宋_GB2312" w:eastAsia="仿宋_GB2312"/>
          <w:sz w:val="32"/>
          <w:szCs w:val="32"/>
        </w:rPr>
        <w:t>增加提租补贴及社保</w:t>
      </w:r>
      <w:r>
        <w:rPr>
          <w:rFonts w:hint="eastAsia" w:ascii="TimesNewRoman" w:hAnsi="TimesNewRoman" w:eastAsia="仿宋_GB2312" w:cs="TimesNewRoman"/>
          <w:kern w:val="0"/>
          <w:sz w:val="32"/>
          <w:szCs w:val="32"/>
        </w:rPr>
        <w:t>；政府性基金预算拨款收入1500万元，占25.33%，比2023年预算1400万元增加</w:t>
      </w:r>
      <w:r>
        <w:rPr>
          <w:rFonts w:hint="eastAsia" w:ascii="TimesNewRoman" w:hAnsi="TimesNewRoman" w:eastAsia="仿宋_GB2312" w:cs="TimesNewRoman"/>
          <w:color w:val="auto"/>
          <w:kern w:val="0"/>
          <w:sz w:val="32"/>
          <w:szCs w:val="32"/>
        </w:rPr>
        <w:t>100万元，增长7.14%，原因主要是</w:t>
      </w:r>
      <w:r>
        <w:rPr>
          <w:rFonts w:hint="eastAsia" w:ascii="仿宋_GB2312" w:eastAsia="仿宋_GB2312"/>
          <w:color w:val="auto"/>
          <w:sz w:val="32"/>
          <w:szCs w:val="32"/>
        </w:rPr>
        <w:t>市政道路增加维护费随之增加。财政专户管理资金收入0万元，占0%，比2023年预算增加0万元，增长0%，原因主要是没有财政专户管理资金。</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淮北市市政工程管理处2024年支出预算5923.23万元，比</w:t>
      </w:r>
      <w:bookmarkStart w:id="0" w:name="_GoBack"/>
      <w:bookmarkEnd w:id="0"/>
      <w:r>
        <w:rPr>
          <w:rFonts w:hint="eastAsia" w:ascii="TimesNewRoman" w:hAnsi="TimesNewRoman" w:eastAsia="仿宋_GB2312" w:cs="TimesNewRoman"/>
          <w:kern w:val="0"/>
          <w:sz w:val="32"/>
          <w:szCs w:val="32"/>
        </w:rPr>
        <w:t>2023年预算5710.22万元增加213.01万元，增长3.37%，原因主要是</w:t>
      </w:r>
      <w:r>
        <w:rPr>
          <w:rFonts w:hint="eastAsia" w:ascii="仿宋_GB2312" w:eastAsia="仿宋_GB2312"/>
          <w:sz w:val="32"/>
          <w:szCs w:val="32"/>
        </w:rPr>
        <w:t>增加提租补贴及社保、市政道路增加维护费随之增加</w:t>
      </w:r>
      <w:r>
        <w:rPr>
          <w:rFonts w:hint="eastAsia" w:ascii="TimesNewRoman" w:hAnsi="TimesNewRoman" w:eastAsia="仿宋_GB2312" w:cs="TimesNewRoman"/>
          <w:kern w:val="0"/>
          <w:sz w:val="32"/>
          <w:szCs w:val="32"/>
        </w:rPr>
        <w:t>。其中，基本支出1713.23万元，占28.92%，主要用于保障机构日常运转、完成日常工作任务；项目支出4210万元，占71.08%，主要用于市政管理运行、市政设施维修、路灯泵站运行。</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2024年财政拨款收支预算5923.23万元。收入按资金来源分为：一般公共预算拨款4423.23万元、政府性基金预算拨款1500万元；按资金年度分为：本年财政拨款收入5923.23万元。支出按功能分类分为：社会保障和就业支出438.61万元，占7.4%；卫生健康支出53.05万元，占0.89%；住房保障支出224.92万元，占3.79%；城乡社区支出5206.65万元，占87.92%。</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淮北市市政工程管理处2024年一般公共预算支出4423.23万元，比2023年预算4310.22万元增加113.01万元，增长2.62%，主要原因：</w:t>
      </w:r>
      <w:r>
        <w:rPr>
          <w:rFonts w:hint="eastAsia" w:ascii="仿宋_GB2312" w:eastAsia="仿宋_GB2312"/>
          <w:sz w:val="32"/>
          <w:szCs w:val="32"/>
        </w:rPr>
        <w:t>增加提租补贴及社保</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社会保障和就业支出438.61万元，占9.91%；卫生健康支出53.05万元，占1.19%；住房保障支出224.92万元，占5.08%；城乡社区支出3706.65万元，占83.82%。</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1、社会保障和就业支出（类）行政事业单位养老支出（款）事业单位离退休（项）2024年预算195.37万元，比2023年预算169.04万元增加26.33万元，增长15.57%，原因主要是退休人员增加。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2、社会保障和就业支出（类）行政事业单位养老支出（款）机关事业单位基本养老保险缴费支出（项）2024年预算138.29万元，比2023年预算150.63万元减少12.34万元，下降8.19%，原因主要是人员变动。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3、社会保障和就业支出（类）行政事业单位养老支出（款）机关事业单位职业年金缴费支出（项）2024年预算69.15万元，比2023年预算75.32万元减少6.17万元，下降8.19%，原因主要是人员变动。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4、社会保障和就业支出（类）其他社会保障和就业支出（款）其他社会保障和就业支出（项）2024年预算35.80万元，比2023年预算36.37万元减少0.57万元，下降1.56%，原因主要是人员变动。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5、卫生健康支出（类）行政事业单位医疗（款）事业单位医疗（项）2024年预算53.05万元，比2023年预算57.60万元减少4.55万元，下降7.89%，原因主要是人员变动。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6、城乡社区支出（类）城乡社区管理事务（款）市政公用行业市场监管（项）2024年预算3706.65万元，比2023年预算3629.97万元增加76.68万元，增长2.11%，原因主要是项目支出增加。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7、住房保障支出（类）住房改革支出（款）住房公积金（项）2024年预算134.95万元，比2023年预算135.03万元减少0.08万元，减少0.06%，原因主要是人员变动。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8、住房保障支出（类）住房改革支出（款）提租补贴（项）2024年预算33.74万元，比2023年预算增加33.74万元，增长100%，原因主要是本年度增加提租补贴。</w:t>
      </w:r>
    </w:p>
    <w:p>
      <w:pPr>
        <w:ind w:firstLine="640" w:firstLineChars="200"/>
        <w:rPr>
          <w:rFonts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rPr>
        <w:t>9、住房保障支出（类）住房改革支出（款）购房补贴（项）2024年预算56.23万元，比2023年预算56.26万元减少0.03万元，减少0.05%，原因主要是人员变动。</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淮北市市政工程管理处2024年一般公共预算基本支出1713.23万元，其中，人员经费1614.83万元，公用经费98.40万元。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（一）人员经费1614.83万元，</w:t>
      </w:r>
      <w:r>
        <w:rPr>
          <w:rFonts w:hint="eastAsia" w:ascii="TimesNewRoman" w:hAnsi="TimesNewRoman" w:eastAsia="仿宋_GB2312" w:cs="TimesNewRoman"/>
          <w:kern w:val="0"/>
          <w:sz w:val="32"/>
          <w:szCs w:val="32"/>
        </w:rPr>
        <w:t>主要包括:基本工资383.62万元、津贴补贴33.74万元、奖金31.97万元、绩效工资448.74万元、机关事业单位基本养老保险费138.29万元、职业年金缴费69.15万元、职工基本医疗保险缴费53.05万元、公务员医疗补助缴费18.95万元、其他社会保障缴费4.42万元、工会经费12.17万元、住房公积金134.95万元、办公费9万元、其他商品和服务支出16.88万元、退休费176.58万元、生活补助12.04万元、医疗费补助12.44万元、对其他个人和家庭的补助支出59.21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（二）公用经费98.40万元，</w:t>
      </w:r>
      <w:r>
        <w:rPr>
          <w:rFonts w:hint="eastAsia" w:ascii="TimesNewRoman" w:hAnsi="TimesNewRoman" w:eastAsia="仿宋_GB2312" w:cs="TimesNewRoman"/>
          <w:kern w:val="0"/>
          <w:sz w:val="32"/>
          <w:szCs w:val="32"/>
        </w:rPr>
        <w:t>主要包括：其他商品服务支出98.40万元。</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淮北市市政工程管理处2024年政府性基金支出1500万元，比2023年预算1400万元增加100万元，增长7.14%，主要原因是</w:t>
      </w:r>
      <w:r>
        <w:rPr>
          <w:rFonts w:hint="eastAsia" w:ascii="仿宋_GB2312" w:eastAsia="仿宋_GB2312"/>
          <w:sz w:val="32"/>
          <w:szCs w:val="32"/>
        </w:rPr>
        <w:t>市政道路增加维护费随之增加</w:t>
      </w:r>
      <w:r>
        <w:rPr>
          <w:rFonts w:hint="eastAsia" w:ascii="TimesNewRoman" w:hAnsi="TimesNewRoman" w:eastAsia="仿宋_GB2312" w:cs="TimesNewRoman"/>
          <w:kern w:val="0"/>
          <w:sz w:val="32"/>
          <w:szCs w:val="32"/>
        </w:rPr>
        <w:t>。具体情况如下：</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（一）城乡社区支出（类）城市基础设施配套费安排的支出（款）其他城市基础设施配套费安排的支出（项）</w:t>
      </w:r>
      <w:r>
        <w:rPr>
          <w:rFonts w:hint="eastAsia" w:ascii="TimesNewRoman" w:hAnsi="TimesNewRoman" w:eastAsia="仿宋_GB2312" w:cs="TimesNewRoman"/>
          <w:kern w:val="0"/>
          <w:sz w:val="32"/>
          <w:szCs w:val="32"/>
        </w:rPr>
        <w:t>2024年预算1500万元，比2023年预算1400增加100万元，增长7.14%，原因主要是</w:t>
      </w:r>
      <w:r>
        <w:rPr>
          <w:rFonts w:hint="eastAsia" w:ascii="仿宋_GB2312" w:eastAsia="仿宋_GB2312"/>
          <w:sz w:val="32"/>
          <w:szCs w:val="32"/>
        </w:rPr>
        <w:t>市政道路增加维护费随之增加</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淮北市市政工程管理处2024年没有国有资本经营预算拨款收入，也没有使用国有资本经营预算拨款安排的支出。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2024年预算共安排项目支出4210万元，比2023年预算3897万元增加313万元，增长8.03%，原因主要是市政设施维护和路灯泵站运行费用增加。主要包括：本年财政拨款安排4210万元（其中，一般公共预算拨款安排2710万元，政府性基金预算拨款安排1500万元），财政专户管理资金安排0万元。</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2024年预算安排政府采购支出900万元，比2023年预算882.52万元增加17.48万元，增长1.98%，原因主要是其他建筑工程增加。其中，一般公共预算安排0万元，占0%；政府性基金预算安排900万元，占100%；财政专户管理资金安排0万元，占0%。</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淮北市市政工程管理处2024年没有安排政府购买服务支出。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1、“市政管理运行费”项目。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hAnsi="楷体" w:eastAsia="仿宋_GB2312"/>
          <w:sz w:val="32"/>
          <w:szCs w:val="32"/>
        </w:rPr>
        <w:t>用于市政职能管理发生的日常办公经费。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hAnsi="楷体" w:eastAsia="仿宋_GB2312"/>
          <w:sz w:val="32"/>
          <w:szCs w:val="32"/>
        </w:rPr>
        <w:t>根据市政设施职能需要。</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仿宋_GB2312" w:hAnsi="楷体" w:eastAsia="仿宋_GB2312"/>
          <w:sz w:val="32"/>
          <w:szCs w:val="32"/>
        </w:rPr>
        <w:t>淮北市市政工程管理处</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楷体" w:eastAsia="仿宋_GB2312"/>
          <w:sz w:val="32"/>
          <w:szCs w:val="32"/>
        </w:rPr>
        <w:t>2024年1-12月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hAnsi="Times New Roman" w:eastAsia="仿宋_GB2312" w:cs="Times New Roman"/>
          <w:sz w:val="32"/>
          <w:szCs w:val="32"/>
        </w:rPr>
        <w:t>用于市政职能管理发生的日常办公经费，日常开支的水电费、邮电费、差旅费、办公设备购置费用、公务接待费以及其他费用。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仿宋_GB2312" w:hAnsi="楷体" w:eastAsia="仿宋_GB2312"/>
          <w:sz w:val="32"/>
          <w:szCs w:val="32"/>
        </w:rPr>
        <w:t>一般公共预算为80万元。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市政管理运行费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[266]淮北市住房和城乡建设局</w:t>
            </w:r>
          </w:p>
        </w:tc>
        <w:tc>
          <w:tcPr>
            <w:tcW w:w="1848" w:type="dxa"/>
            <w:tcBorders>
              <w:tl2br w:val="nil"/>
              <w:tr2bl w:val="nil"/>
            </w:tcBorders>
            <w:vAlign w:val="center"/>
          </w:tcPr>
          <w:p>
            <w:pPr>
              <w:jc w:val="center"/>
              <w:rPr>
                <w:rFonts w:ascii="宋体" w:cs="宋体"/>
                <w:sz w:val="20"/>
              </w:rPr>
            </w:pPr>
            <w:r>
              <w:rPr>
                <w:rFonts w:hint="eastAsia" w:ascii="宋体" w:cs="宋体"/>
                <w:sz w:val="20"/>
              </w:rPr>
              <w:t>实施单位</w:t>
            </w:r>
          </w:p>
        </w:tc>
        <w:tc>
          <w:tcPr>
            <w:tcW w:w="2380" w:type="dxa"/>
            <w:tcBorders>
              <w:tl2br w:val="nil"/>
              <w:tr2bl w:val="nil"/>
            </w:tcBorders>
            <w:vAlign w:val="center"/>
          </w:tcPr>
          <w:p>
            <w:pPr>
              <w:jc w:val="center"/>
              <w:rPr>
                <w:rFonts w:ascii="宋体" w:cs="宋体"/>
                <w:sz w:val="20"/>
              </w:rPr>
            </w:pPr>
            <w:r>
              <w:rPr>
                <w:rFonts w:hint="eastAsia" w:ascii="宋体" w:cs="宋体"/>
                <w:sz w:val="20"/>
              </w:rPr>
              <w:t>淮北市市政工程管理处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本级项目</w:t>
            </w:r>
          </w:p>
        </w:tc>
        <w:tc>
          <w:tcPr>
            <w:tcW w:w="1848" w:type="dxa"/>
            <w:tcBorders>
              <w:tl2br w:val="nil"/>
              <w:tr2bl w:val="nil"/>
            </w:tcBorders>
            <w:vAlign w:val="center"/>
          </w:tcPr>
          <w:p>
            <w:pPr>
              <w:jc w:val="center"/>
              <w:rPr>
                <w:rFonts w:ascii="宋体" w:cs="宋体"/>
                <w:sz w:val="20"/>
              </w:rPr>
            </w:pPr>
            <w:r>
              <w:rPr>
                <w:rFonts w:hint="eastAsia" w:ascii="宋体" w:cs="宋体"/>
                <w:sz w:val="20"/>
              </w:rPr>
              <w:t>项目期</w:t>
            </w:r>
          </w:p>
        </w:tc>
        <w:tc>
          <w:tcPr>
            <w:tcW w:w="2380" w:type="dxa"/>
            <w:tcBorders>
              <w:tl2br w:val="nil"/>
              <w:tr2bl w:val="nil"/>
            </w:tcBorders>
            <w:vAlign w:val="center"/>
          </w:tcPr>
          <w:p>
            <w:pPr>
              <w:jc w:val="center"/>
              <w:rPr>
                <w:rFonts w:ascii="宋体" w:cs="宋体"/>
                <w:sz w:val="20"/>
              </w:rPr>
            </w:pPr>
            <w:r>
              <w:rPr>
                <w:rFonts w:hint="eastAsia" w:asci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通过管理运行费的实施确保我处市政管理工作顺利开展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指标1：经费数额</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财政拨款80万元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指标1：经费支出</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经费支出合规性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指标1：经费支出时效</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2024年全年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指标1：经费支出成本</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不超过财政拨款数额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指标1：经费使用</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指标1：市政工作顺利展开</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保障日常正常运转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指标1：市民满意度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满意度达到95%以上</w:t>
            </w:r>
          </w:p>
        </w:tc>
      </w:tr>
    </w:tbl>
    <w:p>
      <w:pPr>
        <w:ind w:firstLine="420" w:firstLineChars="200"/>
      </w:pPr>
    </w:p>
    <w:p>
      <w:pPr>
        <w:ind w:firstLine="420" w:firstLineChars="200"/>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仿宋_GB2312" w:hAnsi="楷体" w:eastAsia="仿宋_GB2312"/>
          <w:sz w:val="32"/>
          <w:szCs w:val="32"/>
        </w:rPr>
        <w:t>路灯泵站运行费</w:t>
      </w:r>
      <w:r>
        <w:rPr>
          <w:rFonts w:hint="eastAsia" w:ascii="TimesNewRoman" w:hAnsi="TimesNewRoman" w:eastAsia="仿宋_GB2312" w:cs="TimesNewRoman"/>
          <w:kern w:val="0"/>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hAnsi="楷体" w:eastAsia="仿宋_GB2312"/>
          <w:sz w:val="32"/>
          <w:szCs w:val="32"/>
        </w:rPr>
        <w:t>全市能源管理路灯电费、泵站电费及亮化。</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hAnsi="楷体" w:eastAsia="仿宋_GB2312"/>
          <w:sz w:val="32"/>
          <w:szCs w:val="32"/>
        </w:rPr>
        <w:t>根据建设部文件以及2005年《安徽省市政设施养护维修工程估价表》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仿宋_GB2312" w:hAnsi="楷体" w:eastAsia="仿宋_GB2312"/>
          <w:sz w:val="32"/>
          <w:szCs w:val="32"/>
        </w:rPr>
        <w:t>淮北市市政工程管理处</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楷体" w:eastAsia="仿宋_GB2312"/>
          <w:sz w:val="32"/>
          <w:szCs w:val="32"/>
        </w:rPr>
        <w:t>2024年1-12月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hAnsi="楷体" w:eastAsia="仿宋_GB2312"/>
          <w:sz w:val="32"/>
          <w:szCs w:val="32"/>
        </w:rPr>
        <w:t>全市能源管理路灯电费、泵站电费及亮化。</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仿宋_GB2312" w:hAnsi="楷体" w:eastAsia="仿宋_GB2312"/>
          <w:sz w:val="32"/>
          <w:szCs w:val="32"/>
        </w:rPr>
        <w:t>一般公共预算为2313万元。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路灯泵站运行费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[266]淮北市住房和城乡建设局</w:t>
            </w:r>
          </w:p>
        </w:tc>
        <w:tc>
          <w:tcPr>
            <w:tcW w:w="1848" w:type="dxa"/>
            <w:tcBorders>
              <w:tl2br w:val="nil"/>
              <w:tr2bl w:val="nil"/>
            </w:tcBorders>
            <w:vAlign w:val="center"/>
          </w:tcPr>
          <w:p>
            <w:pPr>
              <w:jc w:val="center"/>
            </w:pPr>
            <w:r>
              <w:rPr>
                <w:rFonts w:hint="eastAsia" w:ascii="宋体" w:cs="宋体"/>
                <w:sz w:val="20"/>
              </w:rPr>
              <w:t>实施单位</w:t>
            </w:r>
          </w:p>
        </w:tc>
        <w:tc>
          <w:tcPr>
            <w:tcW w:w="2380" w:type="dxa"/>
            <w:tcBorders>
              <w:tl2br w:val="nil"/>
              <w:tr2bl w:val="nil"/>
            </w:tcBorders>
            <w:vAlign w:val="center"/>
          </w:tcPr>
          <w:p>
            <w:pPr>
              <w:jc w:val="center"/>
            </w:pPr>
            <w:r>
              <w:rPr>
                <w:rFonts w:hint="eastAsia" w:ascii="宋体" w:cs="宋体"/>
                <w:sz w:val="20"/>
              </w:rPr>
              <w:t>淮北市市政工程管理处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r>
              <w:rPr>
                <w:rFonts w:hint="eastAsia" w:asci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2313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2313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sz w:val="20"/>
                <w:szCs w:val="20"/>
              </w:rPr>
              <w:t>严格规范路灯的管理，确保市区城市照明工作正常运转，做好道路照明及亮化设施、设备的日常维护维修工作。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w:t>
            </w:r>
            <w:r>
              <w:rPr>
                <w:rFonts w:hint="eastAsia"/>
                <w:sz w:val="20"/>
                <w:szCs w:val="20"/>
              </w:rPr>
              <w:t>路灯维护数（盏）</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33408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指标2：线路长度（千米）</w:t>
            </w:r>
          </w:p>
        </w:tc>
        <w:tc>
          <w:tcPr>
            <w:tcW w:w="4228" w:type="dxa"/>
            <w:gridSpan w:val="2"/>
            <w:tcBorders>
              <w:tl2br w:val="nil"/>
              <w:tr2bl w:val="nil"/>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指标1：亮灯率</w:t>
            </w:r>
          </w:p>
        </w:tc>
        <w:tc>
          <w:tcPr>
            <w:tcW w:w="4228" w:type="dxa"/>
            <w:gridSpan w:val="2"/>
            <w:tcBorders>
              <w:tl2br w:val="nil"/>
              <w:tr2bl w:val="nil"/>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指标2：设备完好率（%）</w:t>
            </w:r>
          </w:p>
        </w:tc>
        <w:tc>
          <w:tcPr>
            <w:tcW w:w="4228" w:type="dxa"/>
            <w:gridSpan w:val="2"/>
            <w:tcBorders>
              <w:tl2br w:val="nil"/>
              <w:tr2bl w:val="nil"/>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指标1：24小时内故障处理率</w:t>
            </w:r>
          </w:p>
        </w:tc>
        <w:tc>
          <w:tcPr>
            <w:tcW w:w="4228" w:type="dxa"/>
            <w:gridSpan w:val="2"/>
            <w:tcBorders>
              <w:tl2br w:val="nil"/>
              <w:tr2bl w:val="nil"/>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sz w:val="20"/>
                <w:szCs w:val="20"/>
              </w:rPr>
              <w:t>路灯电费（万元）</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2313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指标1：节能率</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指标1：路灯正常运转</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指标1：LED路灯（盏）</w:t>
            </w:r>
          </w:p>
        </w:tc>
        <w:tc>
          <w:tcPr>
            <w:tcW w:w="4228" w:type="dxa"/>
            <w:gridSpan w:val="2"/>
            <w:tcBorders>
              <w:tl2br w:val="nil"/>
              <w:tr2bl w:val="nil"/>
            </w:tcBorders>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指标1：按时结算电费</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指标1：维护反应速度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hAnsi="宋体" w:eastAsia="宋体" w:cs="宋体"/>
                <w:sz w:val="20"/>
              </w:rPr>
            </w:pPr>
          </w:p>
        </w:tc>
        <w:tc>
          <w:tcPr>
            <w:tcW w:w="759" w:type="dxa"/>
            <w:gridSpan w:val="2"/>
            <w:vMerge w:val="continue"/>
            <w:tcBorders>
              <w:tl2br w:val="nil"/>
              <w:tr2bl w:val="nil"/>
            </w:tcBorders>
            <w:vAlign w:val="center"/>
          </w:tcPr>
          <w:p>
            <w:pPr>
              <w:jc w:val="center"/>
              <w:rPr>
                <w:rFonts w:ascii="宋体" w:hAnsi="宋体" w:eastAsia="宋体" w:cs="宋体"/>
                <w:sz w:val="20"/>
              </w:rPr>
            </w:pP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指标2：群众满意度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98%</w:t>
            </w:r>
          </w:p>
        </w:tc>
      </w:tr>
    </w:tbl>
    <w:p>
      <w:pPr>
        <w:ind w:firstLine="640" w:firstLineChars="200"/>
        <w:rPr>
          <w:rFonts w:ascii="TimesNewRoman" w:hAnsi="TimesNewRoman" w:eastAsia="仿宋_GB2312" w:cs="TimesNewRoman"/>
          <w:kern w:val="0"/>
          <w:sz w:val="32"/>
          <w:szCs w:val="32"/>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3、“市政设施维护费（基金）”项目。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（1）项目概述。用于全市市政设施路灯、泵站、道路桥梁、雨水井、检查井、水泥、黄沙等人行道维修所需的材料费用。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（2）立项依据。相关住建部文件及市政设施维护规范。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（3）实施主体。淮北市市政工程管理处</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2024年全市人行道维修工程、沥青路面维修工程、市政排水清淤工程、泵站设备保养及维修工程、泵站附属设施维修工程、市政排水窨井盖整治工程、公交候车厅维修、管养项目、桥梁检测、维修工程、市政亮化设施维护项目、市政设施应急抢修、望湖路工程款、历年尚未支付工程款。工程项目评估、设计、审计、监理等费用；工具车、特种车辆、巡查车等共38辆及31辆巡路电瓶车的维修费、燃油费等；养护维修所工人21人，主要从事60多条市政道路（含桥梁）的日常保养、文明创建、各平台反映的维修问题、防汛排水、冬季道路融雪除冰及各类应急处理工作；排水所泵站21人主要用于水泵日常检查、排除故障，出现积水、停电时及时启动发电机放置警示牌等工作；挖掘修复费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（6）年度预算安排。一般公共预算为317万元，政府性基金安排为1500万元。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市政设施维护费（基金）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[266]淮北市住房和城乡建设局</w:t>
            </w:r>
          </w:p>
        </w:tc>
        <w:tc>
          <w:tcPr>
            <w:tcW w:w="1848" w:type="dxa"/>
            <w:tcBorders>
              <w:tl2br w:val="nil"/>
              <w:tr2bl w:val="nil"/>
            </w:tcBorders>
            <w:vAlign w:val="center"/>
          </w:tcPr>
          <w:p>
            <w:pPr>
              <w:jc w:val="center"/>
            </w:pPr>
            <w:r>
              <w:rPr>
                <w:rFonts w:hint="eastAsia" w:ascii="宋体" w:cs="宋体"/>
                <w:sz w:val="20"/>
              </w:rPr>
              <w:t>实施单位</w:t>
            </w:r>
          </w:p>
        </w:tc>
        <w:tc>
          <w:tcPr>
            <w:tcW w:w="2380" w:type="dxa"/>
            <w:tcBorders>
              <w:tl2br w:val="nil"/>
              <w:tr2bl w:val="nil"/>
            </w:tcBorders>
            <w:vAlign w:val="center"/>
          </w:tcPr>
          <w:p>
            <w:pPr>
              <w:jc w:val="center"/>
            </w:pPr>
            <w:r>
              <w:rPr>
                <w:rFonts w:hint="eastAsia" w:ascii="宋体" w:cs="宋体"/>
                <w:sz w:val="20"/>
              </w:rPr>
              <w:t>淮北市市政工程管理处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r>
              <w:rPr>
                <w:rFonts w:hint="eastAsia" w:asci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1817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1817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textAlignment w:val="baseline"/>
              <w:rPr>
                <w:sz w:val="20"/>
                <w:szCs w:val="20"/>
              </w:rPr>
            </w:pPr>
            <w:r>
              <w:rPr>
                <w:rFonts w:hint="eastAsia"/>
                <w:sz w:val="20"/>
                <w:szCs w:val="20"/>
              </w:rPr>
              <w:t>目标1：人行道、车行道及时维修；</w:t>
            </w:r>
            <w:r>
              <w:rPr>
                <w:rFonts w:hint="eastAsia"/>
                <w:sz w:val="20"/>
                <w:szCs w:val="20"/>
              </w:rPr>
              <w:br w:type="textWrapping"/>
            </w:r>
            <w:r>
              <w:rPr>
                <w:rFonts w:hint="eastAsia"/>
                <w:sz w:val="20"/>
                <w:szCs w:val="20"/>
              </w:rPr>
              <w:t>目标2：市政排水设施及时维护；</w:t>
            </w:r>
            <w:r>
              <w:rPr>
                <w:rFonts w:hint="eastAsia"/>
                <w:sz w:val="20"/>
                <w:szCs w:val="20"/>
              </w:rPr>
              <w:br w:type="textWrapping"/>
            </w:r>
            <w:r>
              <w:rPr>
                <w:rFonts w:hint="eastAsia"/>
                <w:sz w:val="20"/>
                <w:szCs w:val="20"/>
              </w:rPr>
              <w:t>目标3：市政路灯、亮化设施及时维护；</w:t>
            </w:r>
          </w:p>
          <w:p>
            <w:pPr>
              <w:textAlignment w:val="baseline"/>
              <w:rPr>
                <w:sz w:val="20"/>
                <w:szCs w:val="20"/>
              </w:rPr>
            </w:pPr>
            <w:r>
              <w:rPr>
                <w:rFonts w:hint="eastAsia"/>
                <w:sz w:val="20"/>
                <w:szCs w:val="20"/>
              </w:rPr>
              <w:t>目标4：桥梁检测及维修到位；</w:t>
            </w:r>
          </w:p>
          <w:p>
            <w:pPr>
              <w:jc w:val="left"/>
              <w:rPr>
                <w:rFonts w:ascii="宋体" w:cs="宋体"/>
                <w:sz w:val="20"/>
              </w:rPr>
            </w:pPr>
            <w:r>
              <w:rPr>
                <w:rFonts w:hint="eastAsia"/>
                <w:sz w:val="20"/>
                <w:szCs w:val="20"/>
              </w:rPr>
              <w:t>目标5：站台及相关设施维护到位。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jc w:val="left"/>
              <w:rPr>
                <w:rFonts w:ascii="宋体" w:cs="宋体"/>
                <w:sz w:val="20"/>
              </w:rPr>
            </w:pPr>
            <w:r>
              <w:rPr>
                <w:rFonts w:hint="eastAsia" w:ascii="宋体" w:cs="宋体"/>
                <w:sz w:val="20"/>
              </w:rPr>
              <w:t>指标1：维修人行道</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8000m2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jc w:val="left"/>
              <w:rPr>
                <w:rFonts w:ascii="宋体" w:cs="宋体"/>
                <w:sz w:val="20"/>
              </w:rPr>
            </w:pPr>
            <w:r>
              <w:rPr>
                <w:rFonts w:hint="eastAsia" w:ascii="宋体" w:cs="宋体"/>
                <w:sz w:val="20"/>
              </w:rPr>
              <w:t>指标2：维修路面</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35000m2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jc w:val="left"/>
              <w:rPr>
                <w:rFonts w:ascii="宋体" w:cs="宋体"/>
                <w:sz w:val="20"/>
              </w:rPr>
            </w:pPr>
            <w:r>
              <w:rPr>
                <w:rFonts w:hint="eastAsia" w:ascii="宋体" w:cs="宋体"/>
                <w:sz w:val="20"/>
              </w:rPr>
              <w:t>指标3：排水清淤</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20000m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jc w:val="left"/>
              <w:rPr>
                <w:rFonts w:ascii="宋体" w:cs="宋体"/>
                <w:sz w:val="20"/>
              </w:rPr>
            </w:pPr>
            <w:r>
              <w:rPr>
                <w:rFonts w:hint="eastAsia" w:ascii="宋体" w:cs="宋体"/>
                <w:sz w:val="20"/>
              </w:rPr>
              <w:t>指标4: 雨水井整治</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jc w:val="left"/>
              <w:rPr>
                <w:rFonts w:ascii="宋体" w:cs="宋体"/>
                <w:sz w:val="20"/>
              </w:rPr>
            </w:pPr>
            <w:r>
              <w:rPr>
                <w:rFonts w:hint="eastAsia" w:ascii="宋体" w:cs="宋体"/>
                <w:sz w:val="20"/>
              </w:rPr>
              <w:t>指标5：桥梁检测及维修</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55座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jc w:val="left"/>
              <w:rPr>
                <w:rFonts w:ascii="宋体" w:cs="宋体"/>
                <w:sz w:val="20"/>
              </w:rPr>
            </w:pPr>
            <w:r>
              <w:rPr>
                <w:rFonts w:hint="eastAsia" w:ascii="宋体" w:cs="宋体"/>
                <w:sz w:val="20"/>
              </w:rPr>
              <w:t>指标6：公交站台维修</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20座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jc w:val="left"/>
              <w:rPr>
                <w:rFonts w:ascii="宋体" w:cs="宋体"/>
                <w:sz w:val="20"/>
              </w:rPr>
            </w:pPr>
            <w:r>
              <w:rPr>
                <w:rFonts w:hint="eastAsia" w:ascii="宋体" w:cs="宋体"/>
                <w:sz w:val="20"/>
              </w:rPr>
              <w:t>指标1：设施维护率</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jc w:val="left"/>
              <w:rPr>
                <w:rFonts w:ascii="宋体" w:cs="宋体"/>
                <w:sz w:val="20"/>
              </w:rPr>
            </w:pPr>
            <w:r>
              <w:rPr>
                <w:rFonts w:hint="eastAsia" w:ascii="宋体" w:cs="宋体"/>
                <w:sz w:val="20"/>
              </w:rPr>
              <w:t>指标2：竣工验收合格率（%）</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jc w:val="left"/>
              <w:rPr>
                <w:rFonts w:ascii="宋体" w:cs="宋体"/>
                <w:sz w:val="20"/>
              </w:rPr>
            </w:pPr>
            <w:r>
              <w:rPr>
                <w:rFonts w:hint="eastAsia" w:ascii="宋体" w:cs="宋体"/>
                <w:sz w:val="20"/>
              </w:rPr>
              <w:t>指标1;及时发现、及时维护</w:t>
            </w:r>
          </w:p>
        </w:tc>
        <w:tc>
          <w:tcPr>
            <w:tcW w:w="4228" w:type="dxa"/>
            <w:gridSpan w:val="2"/>
            <w:tcBorders>
              <w:tl2br w:val="nil"/>
              <w:tr2bl w:val="nil"/>
            </w:tcBorders>
            <w:vAlign w:val="center"/>
          </w:tcPr>
          <w:p>
            <w:pPr>
              <w:jc w:val="center"/>
              <w:textAlignment w:val="baseline"/>
              <w:rPr>
                <w:rFonts w:ascii="宋体" w:cs="宋体"/>
                <w:sz w:val="20"/>
              </w:rPr>
            </w:pPr>
            <w:r>
              <w:rPr>
                <w:rFonts w:hint="eastAsia"/>
                <w:sz w:val="20"/>
                <w:szCs w:val="20"/>
              </w:rPr>
              <w:t>及时高效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jc w:val="left"/>
              <w:rPr>
                <w:rFonts w:ascii="宋体" w:cs="宋体"/>
                <w:sz w:val="20"/>
              </w:rPr>
            </w:pPr>
            <w:r>
              <w:rPr>
                <w:rFonts w:hint="eastAsia" w:ascii="宋体" w:cs="宋体"/>
                <w:sz w:val="20"/>
              </w:rPr>
              <w:t>指标2：工程竣工验收及时率</w:t>
            </w:r>
          </w:p>
        </w:tc>
        <w:tc>
          <w:tcPr>
            <w:tcW w:w="4228" w:type="dxa"/>
            <w:gridSpan w:val="2"/>
            <w:tcBorders>
              <w:tl2br w:val="nil"/>
              <w:tr2bl w:val="nil"/>
            </w:tcBorders>
            <w:vAlign w:val="center"/>
          </w:tcPr>
          <w:p>
            <w:pPr>
              <w:jc w:val="center"/>
              <w:textAlignment w:val="baseline"/>
              <w:rPr>
                <w:rFonts w:ascii="宋体" w:cs="宋体"/>
                <w:sz w:val="20"/>
              </w:rPr>
            </w:pPr>
            <w:r>
              <w:rPr>
                <w:rFonts w:hint="eastAsia"/>
                <w:sz w:val="20"/>
                <w:szCs w:val="20"/>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指标1：是否超出预算</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textAlignment w:val="baseline"/>
              <w:rPr>
                <w:rFonts w:ascii="宋体" w:cs="宋体"/>
                <w:sz w:val="20"/>
              </w:rPr>
            </w:pPr>
            <w:r>
              <w:rPr>
                <w:rFonts w:hint="eastAsia" w:ascii="宋体" w:hAnsi="宋体" w:eastAsia="宋体" w:cs="宋体"/>
                <w:color w:val="000000"/>
                <w:kern w:val="0"/>
                <w:sz w:val="20"/>
                <w:szCs w:val="20"/>
              </w:rPr>
              <w:t>指标1：营</w:t>
            </w:r>
            <w:r>
              <w:rPr>
                <w:rFonts w:hint="eastAsia"/>
                <w:sz w:val="20"/>
                <w:szCs w:val="20"/>
              </w:rPr>
              <w:t>造良好的营商环境</w:t>
            </w:r>
          </w:p>
        </w:tc>
        <w:tc>
          <w:tcPr>
            <w:tcW w:w="4228" w:type="dxa"/>
            <w:gridSpan w:val="2"/>
            <w:tcBorders>
              <w:tl2br w:val="nil"/>
              <w:tr2bl w:val="nil"/>
            </w:tcBorders>
            <w:vAlign w:val="center"/>
          </w:tcPr>
          <w:p>
            <w:pPr>
              <w:jc w:val="center"/>
              <w:textAlignment w:val="baseline"/>
              <w:rPr>
                <w:rFonts w:ascii="宋体" w:cs="宋体"/>
                <w:sz w:val="20"/>
              </w:rPr>
            </w:pPr>
            <w:r>
              <w:rPr>
                <w:rFonts w:hint="eastAsia"/>
                <w:sz w:val="20"/>
                <w:szCs w:val="20"/>
              </w:rPr>
              <w:t>营造好环境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指标1：道路竣工通车后使用率</w:t>
            </w:r>
          </w:p>
        </w:tc>
        <w:tc>
          <w:tcPr>
            <w:tcW w:w="4228" w:type="dxa"/>
            <w:gridSpan w:val="2"/>
            <w:tcBorders>
              <w:tl2br w:val="nil"/>
              <w:tr2bl w:val="nil"/>
            </w:tcBorders>
            <w:vAlign w:val="center"/>
          </w:tcPr>
          <w:p>
            <w:pPr>
              <w:jc w:val="cente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指标2：方便市民出行</w:t>
            </w:r>
          </w:p>
        </w:tc>
        <w:tc>
          <w:tcPr>
            <w:tcW w:w="4228" w:type="dxa"/>
            <w:gridSpan w:val="2"/>
            <w:tcBorders>
              <w:tl2br w:val="nil"/>
              <w:tr2bl w:val="nil"/>
            </w:tcBorders>
            <w:vAlign w:val="center"/>
          </w:tcPr>
          <w:p>
            <w:pPr>
              <w:jc w:val="cente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指标3：提高文明指数</w:t>
            </w:r>
          </w:p>
        </w:tc>
        <w:tc>
          <w:tcPr>
            <w:tcW w:w="4228" w:type="dxa"/>
            <w:gridSpan w:val="2"/>
            <w:tcBorders>
              <w:tl2br w:val="nil"/>
              <w:tr2bl w:val="nil"/>
            </w:tcBorders>
            <w:vAlign w:val="center"/>
          </w:tcPr>
          <w:p>
            <w:pPr>
              <w:jc w:val="cente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指标1：环保</w:t>
            </w:r>
          </w:p>
        </w:tc>
        <w:tc>
          <w:tcPr>
            <w:tcW w:w="4228" w:type="dxa"/>
            <w:gridSpan w:val="2"/>
            <w:tcBorders>
              <w:tl2br w:val="nil"/>
              <w:tr2bl w:val="nil"/>
            </w:tcBorders>
            <w:vAlign w:val="center"/>
          </w:tcPr>
          <w:p>
            <w:pPr>
              <w:jc w:val="cente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指标2：节能</w:t>
            </w:r>
          </w:p>
        </w:tc>
        <w:tc>
          <w:tcPr>
            <w:tcW w:w="4228" w:type="dxa"/>
            <w:gridSpan w:val="2"/>
            <w:tcBorders>
              <w:tl2br w:val="nil"/>
              <w:tr2bl w:val="nil"/>
            </w:tcBorders>
            <w:vAlign w:val="center"/>
          </w:tcPr>
          <w:p>
            <w:pPr>
              <w:jc w:val="cente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指标3：实施多维度生态化体验</w:t>
            </w:r>
          </w:p>
        </w:tc>
        <w:tc>
          <w:tcPr>
            <w:tcW w:w="4228" w:type="dxa"/>
            <w:gridSpan w:val="2"/>
            <w:tcBorders>
              <w:tl2br w:val="nil"/>
              <w:tr2bl w:val="nil"/>
            </w:tcBorders>
            <w:vAlign w:val="center"/>
          </w:tcPr>
          <w:p>
            <w:pPr>
              <w:jc w:val="cente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指标1：维护养护机制健全性</w:t>
            </w:r>
          </w:p>
        </w:tc>
        <w:tc>
          <w:tcPr>
            <w:tcW w:w="4228" w:type="dxa"/>
            <w:gridSpan w:val="2"/>
            <w:tcBorders>
              <w:tl2br w:val="nil"/>
              <w:tr2bl w:val="nil"/>
            </w:tcBorders>
            <w:vAlign w:val="center"/>
          </w:tcPr>
          <w:p>
            <w:pPr>
              <w:jc w:val="cente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hAnsi="宋体" w:eastAsia="宋体" w:cs="宋体"/>
                <w:sz w:val="20"/>
              </w:rPr>
            </w:pPr>
          </w:p>
        </w:tc>
        <w:tc>
          <w:tcPr>
            <w:tcW w:w="2872" w:type="dxa"/>
            <w:tcBorders>
              <w:tl2br w:val="nil"/>
              <w:tr2bl w:val="nil"/>
            </w:tcBorders>
            <w:vAlign w:val="center"/>
          </w:tcPr>
          <w:p>
            <w:pP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指标2：常年带来社会影响</w:t>
            </w:r>
          </w:p>
        </w:tc>
        <w:tc>
          <w:tcPr>
            <w:tcW w:w="4228" w:type="dxa"/>
            <w:gridSpan w:val="2"/>
            <w:tcBorders>
              <w:tl2br w:val="nil"/>
              <w:tr2bl w:val="nil"/>
            </w:tcBorders>
            <w:vAlign w:val="center"/>
          </w:tcPr>
          <w:p>
            <w:pPr>
              <w:jc w:val="cente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社会影响好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eastAsia"/>
                <w:sz w:val="20"/>
                <w:szCs w:val="20"/>
              </w:rPr>
              <w:t>周边单位及居民满意率</w:t>
            </w:r>
          </w:p>
        </w:tc>
        <w:tc>
          <w:tcPr>
            <w:tcW w:w="4228" w:type="dxa"/>
            <w:gridSpan w:val="2"/>
            <w:tcBorders>
              <w:tl2br w:val="nil"/>
              <w:tr2bl w:val="nil"/>
            </w:tcBorders>
            <w:vAlign w:val="center"/>
          </w:tcPr>
          <w:p>
            <w:pPr>
              <w:jc w:val="center"/>
              <w:rPr>
                <w:rFonts w:ascii="宋体" w:cs="宋体"/>
                <w:sz w:val="20"/>
              </w:rPr>
            </w:pPr>
            <w:r>
              <w:rPr>
                <w:rFonts w:hint="eastAsia"/>
                <w:sz w:val="20"/>
                <w:szCs w:val="20"/>
              </w:rPr>
              <w:t>不低于95%</w:t>
            </w:r>
          </w:p>
        </w:tc>
      </w:tr>
    </w:tbl>
    <w:p>
      <w:pPr>
        <w:pStyle w:val="5"/>
        <w:adjustRightInd w:val="0"/>
        <w:snapToGrid w:val="0"/>
        <w:spacing w:line="560" w:lineRule="exact"/>
        <w:rPr>
          <w:rFonts w:ascii="TimesNewRoman" w:hAnsi="TimesNewRoman" w:eastAsia="楷体_GB2312" w:cs="TimesNewRoman"/>
          <w:color w:val="FF0000"/>
          <w:sz w:val="32"/>
          <w:szCs w:val="3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淮北市市政工程管理处为非参照公务员法管理的事业单位，按照部门预算机关运行经费口径，2024年无机关运行经费财政拨款预算。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淮北市市政工程管理处2024年政府采购预算900万元。其中：政府采购货物预算0万元，政府采购工程预算900万元，政府采购服务预算0万元。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截至2023年12月31日，淮北市市政工程管理处共有车辆37辆，其中：特种专业技术用车16辆、其他用车21辆（只列报车辆不为0的车型）。单价50万元以上的通用设备0台（套），单价100万元以上的专用设备0台（套）。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2024年单位预算安排购置公务用车0辆，购置费0万元；安排购置单价50万元以上的通用设备0台（套），购置费0万元；安排购置单价100万元以上专用设备0台（套），购置费0万元。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2024年，淮北市市政工程管理处3个项目实行了绩效目标管理，涉及一般公共预算当年财政拨款2710万元、政府性基金预算当年财政拨款1500万元、财政专户管理资金当年安排0万元。</w:t>
      </w: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528C1"/>
    <w:rsid w:val="00267E33"/>
    <w:rsid w:val="004A4DC6"/>
    <w:rsid w:val="0057562B"/>
    <w:rsid w:val="00604E96"/>
    <w:rsid w:val="00642BD9"/>
    <w:rsid w:val="006546AF"/>
    <w:rsid w:val="00726D96"/>
    <w:rsid w:val="008F6D1A"/>
    <w:rsid w:val="009A3CA3"/>
    <w:rsid w:val="00AE3242"/>
    <w:rsid w:val="00BD640A"/>
    <w:rsid w:val="00DB2A5C"/>
    <w:rsid w:val="00E907C4"/>
    <w:rsid w:val="00EC7755"/>
    <w:rsid w:val="00F974AD"/>
    <w:rsid w:val="01ED7DC2"/>
    <w:rsid w:val="05755E61"/>
    <w:rsid w:val="08C61823"/>
    <w:rsid w:val="09E73A56"/>
    <w:rsid w:val="0B420B39"/>
    <w:rsid w:val="0E3D3E79"/>
    <w:rsid w:val="10B15B33"/>
    <w:rsid w:val="195C5459"/>
    <w:rsid w:val="1ADA5617"/>
    <w:rsid w:val="239B2B33"/>
    <w:rsid w:val="23B63952"/>
    <w:rsid w:val="269A1CF1"/>
    <w:rsid w:val="288D65EC"/>
    <w:rsid w:val="3C4A2324"/>
    <w:rsid w:val="44561E64"/>
    <w:rsid w:val="4482608D"/>
    <w:rsid w:val="44B13611"/>
    <w:rsid w:val="48845B6E"/>
    <w:rsid w:val="525A632B"/>
    <w:rsid w:val="54D11A52"/>
    <w:rsid w:val="55367256"/>
    <w:rsid w:val="57545F49"/>
    <w:rsid w:val="5CF41937"/>
    <w:rsid w:val="5FCEB7F8"/>
    <w:rsid w:val="60474E3B"/>
    <w:rsid w:val="613D4BE4"/>
    <w:rsid w:val="61B41449"/>
    <w:rsid w:val="73596F2E"/>
    <w:rsid w:val="744A2E41"/>
    <w:rsid w:val="7CBF0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eastAsia="宋体"/>
      <w:sz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1226</Words>
  <Characters>6991</Characters>
  <Lines>58</Lines>
  <Paragraphs>16</Paragraphs>
  <TotalTime>7</TotalTime>
  <ScaleCrop>false</ScaleCrop>
  <LinksUpToDate>false</LinksUpToDate>
  <CharactersWithSpaces>8201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123</cp:lastModifiedBy>
  <cp:lastPrinted>2024-03-04T09:28:00Z</cp:lastPrinted>
  <dcterms:modified xsi:type="dcterms:W3CDTF">2024-12-19T06:46:04Z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222A726E1D9A46BE9C272AA061F341D6</vt:lpwstr>
  </property>
</Properties>
</file>