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建筑工程管理处</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建筑工程管理处</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建筑工程管理处</w:t>
      </w:r>
      <w:r>
        <w:rPr>
          <w:rFonts w:hint="eastAsia" w:ascii="TimesNewRoman" w:hAnsi="TimesNewRoman" w:eastAsia="仿宋_GB2312" w:cs="TimesNewRoman"/>
          <w:bCs/>
          <w:sz w:val="32"/>
          <w:szCs w:val="32"/>
        </w:rPr>
        <w:t>2025年部门预算专项资金管理清单（专栏公开）</w:t>
      </w:r>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0"/>
        <w:rPr>
          <w:rFonts w:hint="eastAsia" w:ascii="仿宋_GB2312" w:eastAsia="仿宋_GB2312"/>
          <w:sz w:val="32"/>
          <w:szCs w:val="32"/>
        </w:rPr>
      </w:pPr>
      <w:r>
        <w:rPr>
          <w:rFonts w:hint="eastAsia" w:ascii="CESI仿宋-GB2312" w:hAnsi="CESI仿宋-GB2312" w:eastAsia="CESI仿宋-GB2312" w:cs="CESI仿宋-GB2312"/>
          <w:sz w:val="32"/>
          <w:szCs w:val="32"/>
        </w:rPr>
        <w:t>根据</w:t>
      </w:r>
      <w:r>
        <w:rPr>
          <w:rFonts w:hint="eastAsia" w:ascii="仿宋_GB2312" w:hAnsi="仿宋_GB2312" w:eastAsia="仿宋_GB2312" w:cs="仿宋_GB2312"/>
          <w:sz w:val="32"/>
          <w:szCs w:val="32"/>
          <w:lang w:val="en-US" w:eastAsia="zh-CN"/>
        </w:rPr>
        <w:t>《关于调整市住建局事业单位机构编制事项的批复》（淮编〔2021〕47号）、《关于调整市住房和城乡建设局部分事业单位机构编制事项的通知》（淮编〔2024〕25号）</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市建筑工程管理处</w:t>
      </w:r>
      <w:r>
        <w:rPr>
          <w:rFonts w:hint="eastAsia" w:ascii="仿宋_GB2312" w:eastAsia="仿宋_GB2312"/>
          <w:color w:val="000000"/>
          <w:sz w:val="32"/>
          <w:szCs w:val="32"/>
        </w:rPr>
        <w:t>主要职</w:t>
      </w:r>
      <w:r>
        <w:rPr>
          <w:rFonts w:hint="eastAsia" w:ascii="仿宋_GB2312" w:eastAsia="仿宋_GB2312"/>
          <w:color w:val="000000"/>
          <w:sz w:val="32"/>
          <w:szCs w:val="32"/>
          <w:lang w:eastAsia="zh-CN"/>
        </w:rPr>
        <w:t>责</w:t>
      </w:r>
      <w:r>
        <w:rPr>
          <w:rFonts w:hint="eastAsia" w:ascii="仿宋_GB2312" w:eastAsia="仿宋_GB2312"/>
          <w:color w:val="000000"/>
          <w:sz w:val="32"/>
          <w:szCs w:val="32"/>
        </w:rPr>
        <w:t>包括贯彻落实建设工程各方责任主体有关建设标准规范、法律法规和政策</w:t>
      </w:r>
      <w:r>
        <w:rPr>
          <w:rFonts w:hint="eastAsia" w:ascii="仿宋_GB2312" w:eastAsia="仿宋_GB2312"/>
          <w:color w:val="000000"/>
          <w:sz w:val="32"/>
          <w:szCs w:val="32"/>
          <w:lang w:eastAsia="zh-CN"/>
        </w:rPr>
        <w:t>。</w:t>
      </w:r>
      <w:r>
        <w:rPr>
          <w:rFonts w:hint="eastAsia" w:ascii="仿宋_GB2312" w:eastAsia="仿宋_GB2312"/>
          <w:color w:val="000000"/>
          <w:sz w:val="32"/>
          <w:szCs w:val="32"/>
        </w:rPr>
        <w:t>承担建设工程质量安全监督、扬尘治理和文明施工管理相关工作，承担建筑行业农民工维权</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rPr>
        <w:t>建设工程装饰装修、防雷、防震等工作。负责建筑业信用评价体系建设工作;协助拟定施工图设计文件(含消防、人防、技防等)审查、消防验收规章制度并组织实施</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协助做好推进建筑节能和建设行业绿色发展，承担墙体材料革新和建筑材料节能管理、散装水泥推广应用</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具体负责全市建设工程造价的管理工作</w:t>
      </w:r>
      <w:r>
        <w:rPr>
          <w:rFonts w:hint="eastAsia" w:ascii="仿宋_GB2312" w:eastAsia="仿宋_GB2312"/>
          <w:color w:val="000000"/>
          <w:sz w:val="32"/>
          <w:szCs w:val="32"/>
          <w:lang w:eastAsia="zh-CN"/>
        </w:rPr>
        <w:t>等，负责建筑企业的监管、培育和指导服务工作;负责指导建筑企业规范合同管理等工作。</w:t>
      </w:r>
      <w:r>
        <w:rPr>
          <w:rFonts w:hint="eastAsia" w:ascii="仿宋_GB2312" w:eastAsia="仿宋_GB2312"/>
          <w:color w:val="000000"/>
          <w:sz w:val="32"/>
          <w:szCs w:val="32"/>
        </w:rPr>
        <w:t>完成上级主管部门交办的其他任务。</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w:t>
      </w:r>
      <w:r>
        <w:rPr>
          <w:rFonts w:hint="eastAsia" w:ascii="TimesNewRoman" w:hAnsi="TimesNewRoman" w:eastAsia="仿宋_GB2312" w:cs="TimesNewRoman"/>
          <w:sz w:val="32"/>
          <w:szCs w:val="32"/>
          <w:lang w:eastAsia="zh-CN"/>
        </w:rPr>
        <w:t>建筑工程管理处</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年度部门预算仅包括</w:t>
      </w:r>
      <w:r>
        <w:rPr>
          <w:rFonts w:hint="eastAsia" w:ascii="TimesNewRoman" w:hAnsi="TimesNewRoman" w:eastAsia="仿宋_GB2312" w:cs="TimesNewRoman"/>
          <w:sz w:val="32"/>
          <w:szCs w:val="32"/>
          <w:lang w:eastAsia="zh-CN"/>
        </w:rPr>
        <w:t>建管处</w:t>
      </w:r>
      <w:r>
        <w:rPr>
          <w:rFonts w:hint="eastAsia" w:ascii="TimesNewRoman" w:hAnsi="TimesNewRoman" w:eastAsia="仿宋_GB2312" w:cs="TimesNewRoman"/>
          <w:sz w:val="32"/>
          <w:szCs w:val="32"/>
        </w:rPr>
        <w:t>本级预算，无其他下属单位预算。</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1.实施产值提升行动。</w:t>
      </w:r>
      <w:r>
        <w:rPr>
          <w:rFonts w:hint="eastAsia" w:ascii="仿宋_GB2312" w:eastAsia="仿宋_GB2312"/>
          <w:sz w:val="32"/>
          <w:szCs w:val="32"/>
        </w:rPr>
        <w:t>全方位扶持企业做大做强</w:t>
      </w:r>
      <w:r>
        <w:rPr>
          <w:rFonts w:hint="eastAsia" w:ascii="仿宋_GB2312" w:eastAsia="仿宋_GB2312"/>
          <w:sz w:val="32"/>
          <w:szCs w:val="32"/>
          <w:lang w:eastAsia="zh-CN"/>
        </w:rPr>
        <w:t>，</w:t>
      </w:r>
      <w:r>
        <w:rPr>
          <w:rFonts w:hint="eastAsia" w:ascii="仿宋_GB2312" w:eastAsia="仿宋_GB2312"/>
          <w:sz w:val="32"/>
          <w:szCs w:val="32"/>
        </w:rPr>
        <w:t>加大政策支持，兑现2024年建筑业企业奖补财政资金，修订《淮北市持续推进建筑业高质量发展若干措施》（淮政办秘〔2022〕29号），将服务业企业纳入产业扶持清单。持续深化建筑业企业包保培育，常态化开展建筑业、服务业企业“一对一”走访帮扶活动，量身定制包保方案，实施分类培育、重点培育、定点帮扶培育。开展“省、市优秀建筑业企业”“域外优秀建筑业企业、优质工程、优秀项目经理”“省优秀建筑业企业”评选，指导本地企业参评“安徽省专精特新中小企业”。鼓励企业做强，指导帮扶企业拓展资质类别、提升资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实施建材提档行动。</w:t>
      </w:r>
      <w:r>
        <w:rPr>
          <w:rFonts w:hint="eastAsia" w:ascii="仿宋_GB2312" w:eastAsia="仿宋_GB2312"/>
          <w:sz w:val="32"/>
          <w:szCs w:val="32"/>
          <w:lang w:val="en-US" w:eastAsia="zh-CN"/>
        </w:rPr>
        <w:t>开展</w:t>
      </w:r>
      <w:r>
        <w:rPr>
          <w:rFonts w:hint="eastAsia" w:ascii="仿宋_GB2312" w:eastAsia="仿宋_GB2312"/>
          <w:sz w:val="32"/>
          <w:szCs w:val="32"/>
        </w:rPr>
        <w:t>《淮北市预拌混凝土管理办法》宣贯落实</w:t>
      </w:r>
      <w:r>
        <w:rPr>
          <w:rFonts w:hint="eastAsia" w:ascii="仿宋_GB2312" w:eastAsia="仿宋_GB2312"/>
          <w:sz w:val="32"/>
          <w:szCs w:val="32"/>
          <w:lang w:eastAsia="zh-CN"/>
        </w:rPr>
        <w:t>，</w:t>
      </w:r>
      <w:r>
        <w:rPr>
          <w:rFonts w:hint="eastAsia" w:ascii="仿宋_GB2312" w:eastAsia="仿宋_GB2312"/>
          <w:sz w:val="32"/>
          <w:szCs w:val="32"/>
        </w:rPr>
        <w:t>严把建材产品质量关，预拌混凝土市场与现场两场联动</w:t>
      </w:r>
      <w:r>
        <w:rPr>
          <w:rFonts w:hint="eastAsia" w:ascii="仿宋_GB2312" w:eastAsia="仿宋_GB2312"/>
          <w:sz w:val="32"/>
          <w:szCs w:val="32"/>
          <w:lang w:eastAsia="zh-CN"/>
        </w:rPr>
        <w:t>，</w:t>
      </w:r>
      <w:r>
        <w:rPr>
          <w:rFonts w:hint="eastAsia" w:ascii="仿宋_GB2312" w:eastAsia="仿宋_GB2312"/>
          <w:sz w:val="32"/>
          <w:szCs w:val="32"/>
        </w:rPr>
        <w:t>对全市已取得安徽省新型墙材产品确认证书的企业进行新墙材产品质量监督抽检</w:t>
      </w:r>
      <w:r>
        <w:rPr>
          <w:rFonts w:hint="eastAsia" w:ascii="仿宋_GB2312" w:eastAsia="仿宋_GB2312"/>
          <w:sz w:val="32"/>
          <w:szCs w:val="32"/>
          <w:lang w:eastAsia="zh-CN"/>
        </w:rPr>
        <w:t>；全面摸排预拌混凝土企业生产经营状况，组织开展全市预拌混凝土生产企业专项检查。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实施监管提标行动。</w:t>
      </w:r>
      <w:r>
        <w:rPr>
          <w:rFonts w:hint="eastAsia" w:ascii="仿宋_GB2312" w:eastAsia="仿宋_GB2312"/>
          <w:sz w:val="32"/>
          <w:szCs w:val="32"/>
          <w:lang w:val="en-US" w:eastAsia="zh-CN"/>
        </w:rPr>
        <w:t>在全市范围内实行房屋市政工程建筑市场行为监督交底；完成建筑劳务企业信用管理平台建设，实行建筑劳务企业实名制登记和信用评价管理；根据行业发展需要，修订完成施工总承包企业信用评价标准；与公管局建立联动，开展2025年建筑市场突出问题专项检查，建立投标人资质条件、人员资格数量比对工作机制。</w:t>
      </w:r>
      <w:r>
        <w:rPr>
          <w:rFonts w:hint="eastAsia" w:ascii="仿宋_GB2312" w:eastAsia="仿宋_GB2312"/>
          <w:sz w:val="32"/>
          <w:szCs w:val="32"/>
        </w:rPr>
        <w:t>试行建筑市场“两控一优”全周期闭环管理，提升办案水平，严厉打击“三包一靠”</w:t>
      </w:r>
      <w:r>
        <w:rPr>
          <w:rFonts w:hint="eastAsia" w:ascii="仿宋_GB2312" w:eastAsia="仿宋_GB2312"/>
          <w:sz w:val="32"/>
          <w:szCs w:val="32"/>
          <w:lang w:eastAsia="zh-CN"/>
        </w:rPr>
        <w:t>。</w:t>
      </w:r>
      <w:r>
        <w:rPr>
          <w:rFonts w:hint="eastAsia" w:ascii="仿宋_GB2312" w:eastAsia="仿宋_GB2312"/>
          <w:sz w:val="32"/>
          <w:szCs w:val="32"/>
        </w:rPr>
        <w:t>推行勘察、设计、图审、造价咨询全流程管控，构建消防工程过程管理，规范消防审验流程。优化质量监管模式，深化监管与服务并重举措。构建“集中交底、过程监督、竣工验前服务”质量监管体系，抓好住宅工程质量分户验制度的落实。落实"双随机一公开"检查，持续优化工程造价监管工作。加大历史遗留欠薪案件化解力度，源头管控新建项目，依法依规维护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按照安全差异化监管要求，全年对市本级在建项目至少完成四轮全覆盖检查；推动项目经理、总监、安全员等关键岗位人员到岗履责，提升安全员队伍专业化水平；持续推进建筑工地施工安全治本攻坚三年行动，着力提高风险隐患排查整改质量，提升企业安全生产标准化水平，力争实现“零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抓实市直管项目扬尘治理和文明城市创建工作；定期开展县区扬尘治理和文明城市创建督查考核和帮扶指导，通过日常巡查、专项整治、突击检查、节假日巡查等方式推进建筑工地大气污染防治工作。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6.系统</w:t>
      </w:r>
      <w:r>
        <w:rPr>
          <w:rFonts w:hint="eastAsia" w:ascii="仿宋_GB2312" w:eastAsia="仿宋_GB2312"/>
          <w:sz w:val="32"/>
          <w:szCs w:val="32"/>
        </w:rPr>
        <w:t>推行“好房子”建设，</w:t>
      </w:r>
      <w:r>
        <w:rPr>
          <w:rFonts w:hint="eastAsia" w:ascii="仿宋_GB2312" w:eastAsia="仿宋_GB2312"/>
          <w:sz w:val="32"/>
          <w:szCs w:val="32"/>
          <w:lang w:val="en-US" w:eastAsia="zh-CN"/>
        </w:rPr>
        <w:t>加大政策宣贯力度，严格材料与施工工艺管控，做好业主开放日跟踪服务；试点推行“四代建筑”，在质量月期间，举办全市“四代建筑”现场质量观摩会（2025年10月）。</w:t>
      </w:r>
      <w:r>
        <w:rPr>
          <w:rFonts w:hint="eastAsia" w:ascii="仿宋_GB2312" w:eastAsia="仿宋_GB2312"/>
          <w:sz w:val="32"/>
          <w:szCs w:val="32"/>
        </w:rPr>
        <w:t>强力推进室外配套管理，</w:t>
      </w:r>
      <w:r>
        <w:rPr>
          <w:rFonts w:hint="eastAsia" w:ascii="仿宋_GB2312" w:eastAsia="仿宋_GB2312"/>
          <w:sz w:val="32"/>
          <w:szCs w:val="32"/>
          <w:lang w:val="en-US" w:eastAsia="zh-CN"/>
        </w:rPr>
        <w:t>实行不同</w:t>
      </w:r>
      <w:r>
        <w:rPr>
          <w:rFonts w:hint="eastAsia" w:ascii="仿宋_GB2312" w:eastAsia="仿宋_GB2312"/>
          <w:sz w:val="32"/>
          <w:szCs w:val="32"/>
        </w:rPr>
        <w:t>专业</w:t>
      </w:r>
      <w:r>
        <w:rPr>
          <w:rFonts w:hint="eastAsia" w:ascii="仿宋_GB2312" w:eastAsia="仿宋_GB2312"/>
          <w:sz w:val="32"/>
          <w:szCs w:val="32"/>
          <w:lang w:val="en-US" w:eastAsia="zh-CN"/>
        </w:rPr>
        <w:t>序时施工提前告知交底，</w:t>
      </w:r>
      <w:r>
        <w:rPr>
          <w:rFonts w:hint="eastAsia" w:ascii="仿宋_GB2312" w:eastAsia="仿宋_GB2312"/>
          <w:sz w:val="32"/>
          <w:szCs w:val="32"/>
        </w:rPr>
        <w:t>明确</w:t>
      </w:r>
      <w:r>
        <w:rPr>
          <w:rFonts w:hint="eastAsia" w:ascii="仿宋_GB2312" w:eastAsia="仿宋_GB2312"/>
          <w:sz w:val="32"/>
          <w:szCs w:val="32"/>
          <w:lang w:val="en-US" w:eastAsia="zh-CN"/>
        </w:rPr>
        <w:t>各专业监督验收要点，利用季度性检查加强对室外配套工程的抽查力度。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持续开展建筑节能、绿色建筑、装配式建筑各项推进工作，帮扶我市装配式建筑企业发展。指导督促相山区住建局完成省级绿色低碳示范区项目建设工作。加快推进建筑光伏一体化推广应用。培育智能建造试点项目，推动更多项目接入中国建造（安徽）互联网平台。</w:t>
      </w:r>
    </w:p>
    <w:p>
      <w:pPr>
        <w:ind w:firstLine="640" w:firstLineChars="200"/>
        <w:rPr>
          <w:rFonts w:hint="eastAsia" w:ascii="仿宋_GB2312" w:eastAsia="仿宋_GB2312"/>
          <w:sz w:val="32"/>
          <w:szCs w:val="32"/>
        </w:rPr>
      </w:pPr>
      <w:r>
        <w:rPr>
          <w:rFonts w:hint="eastAsia" w:ascii="CESI仿宋-GB2312" w:hAnsi="CESI仿宋-GB2312" w:eastAsia="CESI仿宋-GB2312" w:cs="CESI仿宋-GB2312"/>
          <w:b/>
          <w:bCs/>
          <w:sz w:val="32"/>
          <w:szCs w:val="32"/>
          <w:lang w:val="en-US" w:eastAsia="zh-CN"/>
        </w:rPr>
        <w:t xml:space="preserve"> </w:t>
      </w:r>
    </w:p>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hint="eastAsia"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建筑工程管理处</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建筑工程管理处</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1941.07</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1941.07</w:t>
      </w:r>
      <w:r>
        <w:rPr>
          <w:rFonts w:hint="eastAsia" w:ascii="TimesNewRoman" w:hAnsi="TimesNewRoman" w:eastAsia="仿宋_GB2312" w:cs="TimesNewRoman"/>
          <w:sz w:val="32"/>
          <w:szCs w:val="32"/>
        </w:rPr>
        <w:t>万元，支出包括：社会保障和就业支出、卫生健康支出、住房保障支出、</w:t>
      </w:r>
      <w:r>
        <w:rPr>
          <w:rFonts w:hint="eastAsia" w:ascii="TimesNewRoman" w:hAnsi="TimesNewRoman" w:eastAsia="仿宋_GB2312" w:cs="TimesNewRoman"/>
          <w:sz w:val="32"/>
          <w:szCs w:val="32"/>
          <w:lang w:eastAsia="zh-CN"/>
        </w:rPr>
        <w:t>城乡社区</w:t>
      </w:r>
      <w:r>
        <w:rPr>
          <w:rFonts w:hint="eastAsia" w:ascii="TimesNewRoman" w:hAnsi="TimesNewRoman" w:eastAsia="仿宋_GB2312" w:cs="TimesNewRoman"/>
          <w:sz w:val="32"/>
          <w:szCs w:val="32"/>
        </w:rPr>
        <w:t>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建筑工程管理处</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92.69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新增职工</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2024年及</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2024年及</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92.69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新增人员</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1765.63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91</w:t>
      </w:r>
      <w:r>
        <w:rPr>
          <w:rFonts w:hint="eastAsia" w:ascii="TimesNewRoman" w:hAnsi="TimesNewRoman" w:eastAsia="仿宋_GB2312" w:cs="TimesNewRoman"/>
          <w:kern w:val="0"/>
          <w:sz w:val="32"/>
          <w:szCs w:val="32"/>
        </w:rPr>
        <w:t>%，主要用于于</w:t>
      </w:r>
      <w:r>
        <w:rPr>
          <w:rFonts w:hint="eastAsia" w:ascii="仿宋_GB2312" w:hAnsi="仿宋_GB2312" w:eastAsia="仿宋_GB2312" w:cs="仿宋_GB2312"/>
          <w:sz w:val="32"/>
          <w:szCs w:val="32"/>
        </w:rPr>
        <w:t>社会保障和就业支出、卫生健康支出、</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住房保障支出</w:t>
      </w:r>
      <w:r>
        <w:rPr>
          <w:rFonts w:hint="eastAsia" w:ascii="TimesNewRoman" w:hAnsi="TimesNewRoman" w:eastAsia="仿宋_GB2312" w:cs="TimesNewRoman"/>
          <w:kern w:val="0"/>
          <w:sz w:val="32"/>
          <w:szCs w:val="32"/>
        </w:rPr>
        <w:t>；项目支出</w:t>
      </w:r>
      <w:r>
        <w:rPr>
          <w:rFonts w:hint="eastAsia" w:ascii="TimesNewRoman" w:hAnsi="TimesNewRoman" w:eastAsia="仿宋_GB2312" w:cs="TimesNewRoman"/>
          <w:kern w:val="0"/>
          <w:sz w:val="32"/>
          <w:szCs w:val="32"/>
          <w:lang w:val="en-US" w:eastAsia="zh-CN"/>
        </w:rPr>
        <w:t>175.44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%，主要用于保障机构日常运转、完成日常工作任务。</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建筑工程管理处</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336.54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77.42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239.34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1287.78万元，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建筑工程管理处</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1941.07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92.69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新增人员</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336.54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77.42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239.34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1287.78万元，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96.52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0.19</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增加退休人员一人，增加基础绩效奖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156.74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12.55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8.70</w:t>
      </w:r>
      <w:r>
        <w:rPr>
          <w:rFonts w:hint="eastAsia" w:ascii="TimesNewRoman" w:hAnsi="TimesNewRoman" w:eastAsia="仿宋_GB2312" w:cs="TimesNewRoman"/>
          <w:kern w:val="0"/>
          <w:sz w:val="32"/>
          <w:szCs w:val="32"/>
        </w:rPr>
        <w:t>%，增长原因主要</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缴费基数变动，</w:t>
      </w:r>
      <w:r>
        <w:rPr>
          <w:rFonts w:hint="eastAsia" w:ascii="TimesNewRoman" w:hAnsi="TimesNewRoman" w:eastAsia="仿宋_GB2312" w:cs="TimesNewRoman"/>
          <w:kern w:val="0"/>
          <w:sz w:val="32"/>
          <w:szCs w:val="32"/>
          <w:lang w:val="en-US" w:eastAsia="zh-CN"/>
        </w:rPr>
        <w:t>二是新增人员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社会保障和就业（类）行政事业单位养老支出（款）机关事业单位职业年金缴费支出（项）。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78.37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8.69</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缴费基数变动，</w:t>
      </w:r>
      <w:r>
        <w:rPr>
          <w:rFonts w:hint="eastAsia" w:ascii="TimesNewRoman" w:hAnsi="TimesNewRoman" w:eastAsia="仿宋_GB2312" w:cs="TimesNewRoman"/>
          <w:kern w:val="0"/>
          <w:sz w:val="32"/>
          <w:szCs w:val="32"/>
          <w:lang w:val="en-US" w:eastAsia="zh-CN"/>
        </w:rPr>
        <w:t>二是新增人员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eastAsia="zh-CN"/>
        </w:rPr>
        <w:t>社会保障和就业（类）行政事业单位养老支出（款）其他社会保障和就业支出（项）。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4.92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0.42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9.33</w:t>
      </w:r>
      <w:r>
        <w:rPr>
          <w:rFonts w:hint="eastAsia" w:ascii="TimesNewRoman" w:hAnsi="TimesNewRoman" w:eastAsia="仿宋_GB2312" w:cs="TimesNewRoman"/>
          <w:kern w:val="0"/>
          <w:sz w:val="32"/>
          <w:szCs w:val="32"/>
        </w:rPr>
        <w:t>%，增长原因主要</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缴费基数变动，</w:t>
      </w:r>
      <w:r>
        <w:rPr>
          <w:rFonts w:hint="eastAsia" w:ascii="TimesNewRoman" w:hAnsi="TimesNewRoman" w:eastAsia="仿宋_GB2312" w:cs="TimesNewRoman"/>
          <w:kern w:val="0"/>
          <w:sz w:val="32"/>
          <w:szCs w:val="32"/>
          <w:lang w:val="en-US" w:eastAsia="zh-CN"/>
        </w:rPr>
        <w:t>二是新增人员</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卫生健康支出（类）行政事业单位医疗（款）事业单位医疗（项）。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50.56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减少3.4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下降6.30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下降</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缴费基数变动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卫生健康支出（类）行政事业单位医疗（款）公务员医疗补助（项）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26.86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7.74</w:t>
      </w:r>
      <w:r>
        <w:rPr>
          <w:rFonts w:hint="eastAsia" w:ascii="TimesNewRoman" w:hAnsi="TimesNewRoman" w:eastAsia="仿宋_GB2312" w:cs="TimesNewRoman"/>
          <w:kern w:val="0"/>
          <w:sz w:val="32"/>
          <w:szCs w:val="32"/>
        </w:rPr>
        <w:t>%，增长原因主要</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缴费基数变动，</w:t>
      </w:r>
      <w:r>
        <w:rPr>
          <w:rFonts w:hint="eastAsia" w:ascii="TimesNewRoman" w:hAnsi="TimesNewRoman" w:eastAsia="仿宋_GB2312" w:cs="TimesNewRoman"/>
          <w:kern w:val="0"/>
          <w:sz w:val="32"/>
          <w:szCs w:val="32"/>
          <w:lang w:val="en-US" w:eastAsia="zh-CN"/>
        </w:rPr>
        <w:t>二是新增人员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城乡社区支出（类）城乡社区管理事务（款）工程建设管理（项）</w:t>
      </w:r>
      <w:r>
        <w:rPr>
          <w:rFonts w:hint="eastAsia" w:ascii="TimesNewRoman" w:hAnsi="TimesNewRoman" w:eastAsia="仿宋_GB2312" w:cs="TimesNewRoman"/>
          <w:kern w:val="0"/>
          <w:sz w:val="32"/>
          <w:szCs w:val="32"/>
          <w:lang w:val="en-US" w:eastAsia="zh-CN"/>
        </w:rPr>
        <w:t>2025年预算1287.78万元，比2024年预算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lang w:val="en-US" w:eastAsia="zh-CN"/>
        </w:rPr>
        <w:t>132.04万元，</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11.42%，原因主要是新增人员。</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eastAsia="zh-CN"/>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年预算</w:t>
      </w:r>
      <w:r>
        <w:rPr>
          <w:rFonts w:hint="eastAsia" w:ascii="TimesNewRoman" w:hAnsi="TimesNewRoman" w:eastAsia="仿宋_GB2312" w:cs="TimesNewRoman"/>
          <w:kern w:val="0"/>
          <w:sz w:val="32"/>
          <w:szCs w:val="32"/>
          <w:lang w:val="en-US" w:eastAsia="zh-CN"/>
        </w:rPr>
        <w:t>143.6</w:t>
      </w:r>
      <w:r>
        <w:rPr>
          <w:rFonts w:hint="eastAsia" w:ascii="TimesNewRoman" w:hAnsi="TimesNewRoman" w:eastAsia="仿宋_GB2312" w:cs="TimesNewRoman"/>
          <w:kern w:val="0"/>
          <w:sz w:val="32"/>
          <w:szCs w:val="32"/>
          <w:lang w:eastAsia="zh-CN"/>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年预算</w:t>
      </w:r>
      <w:r>
        <w:rPr>
          <w:rFonts w:hint="eastAsia" w:ascii="TimesNewRoman" w:hAnsi="TimesNewRoman" w:eastAsia="仿宋_GB2312" w:cs="TimesNewRoman"/>
          <w:kern w:val="0"/>
          <w:sz w:val="32"/>
          <w:szCs w:val="32"/>
          <w:lang w:val="en-US" w:eastAsia="zh-CN"/>
        </w:rPr>
        <w:t>增加3.42</w:t>
      </w:r>
      <w:r>
        <w:rPr>
          <w:rFonts w:hint="eastAsia" w:ascii="TimesNewRoman" w:hAnsi="TimesNewRoman" w:eastAsia="仿宋_GB2312" w:cs="TimesNewRoman"/>
          <w:kern w:val="0"/>
          <w:sz w:val="32"/>
          <w:szCs w:val="32"/>
          <w:lang w:eastAsia="zh-CN"/>
        </w:rPr>
        <w:t>万元，</w:t>
      </w:r>
      <w:r>
        <w:rPr>
          <w:rFonts w:hint="eastAsia" w:ascii="TimesNewRoman" w:hAnsi="TimesNewRoman" w:eastAsia="仿宋_GB2312" w:cs="TimesNewRoman"/>
          <w:kern w:val="0"/>
          <w:sz w:val="32"/>
          <w:szCs w:val="32"/>
          <w:lang w:val="en-US" w:eastAsia="zh-CN"/>
        </w:rPr>
        <w:t>增长2.43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增长原因主要一是</w:t>
      </w:r>
      <w:r>
        <w:rPr>
          <w:rFonts w:hint="eastAsia" w:ascii="TimesNewRoman" w:hAnsi="TimesNewRoman" w:eastAsia="仿宋_GB2312" w:cs="TimesNewRoman"/>
          <w:kern w:val="0"/>
          <w:sz w:val="32"/>
          <w:szCs w:val="32"/>
          <w:lang w:eastAsia="zh-CN"/>
        </w:rPr>
        <w:t>缴费基数变动，二是</w:t>
      </w:r>
      <w:r>
        <w:rPr>
          <w:rFonts w:hint="eastAsia" w:ascii="TimesNewRoman" w:hAnsi="TimesNewRoman" w:eastAsia="仿宋_GB2312" w:cs="TimesNewRoman"/>
          <w:kern w:val="0"/>
          <w:sz w:val="32"/>
          <w:szCs w:val="32"/>
          <w:lang w:val="en-US" w:eastAsia="zh-CN"/>
        </w:rPr>
        <w:t>新增职工2人</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住房保障支出（类）住房改革支出（款）购房补贴（项）。</w:t>
      </w:r>
      <w:r>
        <w:rPr>
          <w:rFonts w:hint="eastAsia" w:ascii="TimesNewRoman" w:hAnsi="TimesNewRoman" w:eastAsia="仿宋_GB2312" w:cs="TimesNewRoman"/>
          <w:kern w:val="0"/>
          <w:sz w:val="32"/>
          <w:szCs w:val="32"/>
          <w:lang w:val="en-US" w:eastAsia="zh-CN"/>
        </w:rPr>
        <w:t>2025年预算59.41万元，比2024年预算增加1.42万元，增长2.43%，增长原因主要一是缴费基数变动，二是新增职工2人。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10.住房保障支出（类）住房改革支出（款）提租补贴（项）。2025年预算35.90万元，比2024年预算增加0.85万元，增长2.42%，增长原因</w:t>
      </w:r>
      <w:r>
        <w:rPr>
          <w:rFonts w:hint="eastAsia" w:ascii="仿宋_GB2312" w:hAnsi="仿宋" w:eastAsia="仿宋_GB2312"/>
          <w:sz w:val="32"/>
          <w:szCs w:val="32"/>
        </w:rPr>
        <w:t>主要是</w:t>
      </w:r>
      <w:r>
        <w:rPr>
          <w:rFonts w:hint="eastAsia" w:ascii="TimesNewRoman" w:hAnsi="TimesNewRoman" w:eastAsia="仿宋_GB2312" w:cs="TimesNewRoman"/>
          <w:kern w:val="0"/>
          <w:sz w:val="32"/>
          <w:szCs w:val="32"/>
          <w:lang w:val="en-US" w:eastAsia="zh-CN"/>
        </w:rPr>
        <w:t>新增职工。</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1765.63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1653.48</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112.15</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1653.48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抚恤金、生活补助、对其他个人和家庭的补助支出。</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112.15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主要包括：办公费、印刷费、其他交通费用、其他商品服务支出。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年没有政府性基金预算拨款收入，也没有使用政府性基金预算拨款安排的支出。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pStyle w:val="6"/>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175.44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21.36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10.85</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主要原因是坚持过紧日子的原则，压减一切不必要的开支。</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175.44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175.44</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2025年没有安排政府购买服务支出。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pStyle w:val="6"/>
        <w:adjustRightInd w:val="0"/>
        <w:snapToGrid w:val="0"/>
        <w:spacing w:line="560" w:lineRule="exact"/>
        <w:ind w:firstLine="640" w:firstLineChars="200"/>
        <w:outlineLvl w:val="0"/>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sz w:val="32"/>
          <w:szCs w:val="32"/>
        </w:rPr>
        <w:t>“建筑市场管理运行费”项目。</w:t>
      </w:r>
    </w:p>
    <w:p>
      <w:pPr>
        <w:pStyle w:val="6"/>
        <w:adjustRightInd w:val="0"/>
        <w:snapToGrid w:val="0"/>
        <w:spacing w:line="560" w:lineRule="exact"/>
        <w:ind w:firstLine="640" w:firstLineChars="200"/>
        <w:outlineLvl w:val="0"/>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w:t>
      </w:r>
      <w:r>
        <w:rPr>
          <w:rFonts w:ascii="TimesNewRoman" w:hAnsi="TimesNewRoman" w:eastAsia="仿宋_GB2312" w:cs="TimesNewRoman"/>
          <w:sz w:val="32"/>
          <w:szCs w:val="32"/>
        </w:rPr>
        <w:t>1</w:t>
      </w:r>
      <w:r>
        <w:rPr>
          <w:rFonts w:hint="eastAsia" w:ascii="TimesNewRoman" w:hAnsi="TimesNewRoman" w:eastAsia="仿宋_GB2312" w:cs="TimesNewRoman"/>
          <w:sz w:val="32"/>
          <w:szCs w:val="32"/>
        </w:rPr>
        <w:t>）项目概述：</w:t>
      </w:r>
    </w:p>
    <w:p>
      <w:pPr>
        <w:pStyle w:val="11"/>
        <w:widowControl w:val="0"/>
        <w:snapToGrid w:val="0"/>
        <w:spacing w:before="0" w:beforeAutospacing="0" w:after="0" w:afterAutospacing="0" w:line="560" w:lineRule="exact"/>
        <w:ind w:firstLine="641"/>
        <w:jc w:val="both"/>
        <w:rPr>
          <w:rFonts w:ascii="TimesNewRoman" w:hAnsi="TimesNewRoman" w:eastAsia="仿宋_GB2312" w:cs="TimesNewRoman"/>
          <w:kern w:val="0"/>
          <w:sz w:val="32"/>
          <w:szCs w:val="32"/>
          <w:lang w:val="en-US" w:eastAsia="zh-CN" w:bidi="ar-SA"/>
        </w:rPr>
      </w:pPr>
      <w:r>
        <w:rPr>
          <w:rFonts w:hint="eastAsia" w:ascii="仿宋_GB2312" w:eastAsia="仿宋_GB2312"/>
          <w:sz w:val="32"/>
          <w:szCs w:val="32"/>
        </w:rPr>
        <w:t>1、</w:t>
      </w:r>
      <w:r>
        <w:rPr>
          <w:rFonts w:hint="eastAsia" w:ascii="TimesNewRoman" w:hAnsi="TimesNewRoman" w:eastAsia="仿宋_GB2312" w:cs="TimesNewRoman"/>
          <w:kern w:val="0"/>
          <w:sz w:val="32"/>
          <w:szCs w:val="32"/>
          <w:lang w:val="en-US" w:eastAsia="zh-CN" w:bidi="ar-SA"/>
        </w:rPr>
        <w:t>贯彻落实建设工程各方责任主体有关建设标准规范、法律法规和政策。</w:t>
      </w:r>
    </w:p>
    <w:p>
      <w:pPr>
        <w:pStyle w:val="11"/>
        <w:widowControl w:val="0"/>
        <w:snapToGrid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2、承担建设工程质量安全监督、扬尘治理和文明施工管理相关工作，推进建设工程质量优质工程和安全标准化工作;配合工程质量、安全事故的调查处理和应急处置工作;承担建设工程装饰装修、防雷、防震等具体工作。</w:t>
      </w:r>
    </w:p>
    <w:p>
      <w:pPr>
        <w:pStyle w:val="11"/>
        <w:widowControl w:val="0"/>
        <w:snapToGrid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3、负责建筑业信用评价体系建设工作;协助拟定施工图设计文件(含消防、人防、技防等)审查、消防验收规章制度并组织实施;承担建筑活动单位、从业人员培训和管理服务及建筑行业农民工维权工作。</w:t>
      </w:r>
    </w:p>
    <w:p>
      <w:pPr>
        <w:pStyle w:val="11"/>
        <w:widowControl w:val="0"/>
        <w:snapToGrid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4、协助做好推进建筑节能和建设行业绿色发展，推广应用新技术、新产品、新材料、新工艺工作，促进产业融合发展。</w:t>
      </w:r>
    </w:p>
    <w:p>
      <w:pPr>
        <w:pStyle w:val="11"/>
        <w:widowControl w:val="0"/>
        <w:snapToGrid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5、承担墙体材料革新和建筑材料节能管理、散装水泥推广应用。</w:t>
      </w:r>
    </w:p>
    <w:p>
      <w:pPr>
        <w:pStyle w:val="11"/>
        <w:widowControl w:val="0"/>
        <w:snapToGrid w:val="0"/>
        <w:spacing w:before="0" w:beforeAutospacing="0" w:after="0" w:afterAutospacing="0" w:line="560" w:lineRule="exact"/>
        <w:ind w:firstLine="641"/>
        <w:jc w:val="both"/>
        <w:rPr>
          <w:rFonts w:ascii="仿宋_GB2312" w:eastAsia="仿宋_GB2312"/>
          <w:sz w:val="32"/>
          <w:szCs w:val="32"/>
        </w:rPr>
      </w:pPr>
      <w:r>
        <w:rPr>
          <w:rFonts w:hint="eastAsia" w:ascii="仿宋_GB2312" w:eastAsia="仿宋_GB2312"/>
          <w:sz w:val="32"/>
          <w:szCs w:val="32"/>
        </w:rPr>
        <w:t>6、贯彻落实国家、省有关工程建设标准规范、技术经济定额、工程造价管理法律法规和政策;协助拟定地方性建设工程造价计价标准定额政策规章;具体负责全市建设工程造价的管理工作。</w:t>
      </w:r>
    </w:p>
    <w:p>
      <w:pPr>
        <w:pStyle w:val="11"/>
        <w:widowControl w:val="0"/>
        <w:snapToGrid w:val="0"/>
        <w:spacing w:before="0" w:beforeAutospacing="0" w:after="0" w:afterAutospacing="0" w:line="560" w:lineRule="exact"/>
        <w:ind w:firstLine="641"/>
        <w:jc w:val="both"/>
        <w:rPr>
          <w:rFonts w:hint="eastAsia" w:ascii="黑体" w:hAnsi="黑体" w:eastAsia="黑体"/>
          <w:color w:val="auto"/>
          <w:szCs w:val="32"/>
        </w:rPr>
      </w:pPr>
      <w:r>
        <w:rPr>
          <w:rFonts w:hint="eastAsia" w:ascii="仿宋_GB2312" w:eastAsia="仿宋_GB2312"/>
          <w:sz w:val="32"/>
          <w:szCs w:val="32"/>
        </w:rPr>
        <w:t>7、完成上级主管部门交办的其他任务。</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）立项依据：《建筑业企业资质管理规定》、《安徽省建筑市场管理条例 》《建设工程安全生产管理条例 》、《中华人民共和国安全生产法》、《建筑施工企业主要负责人 项目负责人和专职安全生产管理人员安全生产管理规定》</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《安徽省促进散装水泥发展和应用条例》</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《安徽省发展新型墙体材料条例》</w:t>
      </w:r>
      <w:r>
        <w:rPr>
          <w:rFonts w:hint="eastAsia" w:ascii="TimesNewRoman" w:hAnsi="TimesNewRoman" w:eastAsia="仿宋_GB2312" w:cs="TimesNewRoman"/>
          <w:kern w:val="0"/>
          <w:sz w:val="32"/>
          <w:szCs w:val="32"/>
          <w:lang w:eastAsia="zh-CN"/>
        </w:rPr>
        <w:t>、</w:t>
      </w:r>
      <w:r>
        <w:rPr>
          <w:rFonts w:hint="eastAsia" w:ascii="仿宋_GB2312" w:eastAsia="仿宋_GB2312" w:cs="仿宋_GB2312"/>
          <w:sz w:val="32"/>
          <w:szCs w:val="32"/>
        </w:rPr>
        <w:t>《房屋建筑和市政基础设施工程质量监督管理规定》（建设部5号令）</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《建设工程质量检测管理办法》（建设部141号令）</w:t>
      </w:r>
      <w:r>
        <w:rPr>
          <w:rFonts w:hint="eastAsia" w:ascii="仿宋_GB2312" w:eastAsia="仿宋_GB2312" w:cs="仿宋_GB2312"/>
          <w:sz w:val="32"/>
          <w:szCs w:val="32"/>
          <w:lang w:eastAsia="zh-CN"/>
        </w:rPr>
        <w:t>、</w:t>
      </w:r>
      <w:r>
        <w:rPr>
          <w:rFonts w:hint="eastAsia" w:ascii="仿宋_GB2312" w:eastAsia="仿宋_GB2312" w:cs="仿宋_GB2312"/>
          <w:sz w:val="32"/>
          <w:szCs w:val="32"/>
        </w:rPr>
        <w:t>《建设工程质量检测管理办法》（建设部141号令）</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）实施主体：淮北市建筑工程管理处。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年1月至12月。</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）项目内容：1、《建筑业企业资质管理规定》第二十四条 县级以上人民政府住房城乡建设主管部门和其他有关部门应当依照有关法律、法规和本规定，加强对企业取得建筑业企业资质后是否满足资质标准和市场行为的监督管理。《安徽省建筑市场管理条例 》第三条 县以上地方各级人民政府建设行政主管部门负责本行政区域建筑市场的管理工作。2、《筑筑施工企业主要负责人 项目负责人和专职安全生产管理人员安全生产管理规定》第四条 县级以上人民政府住房城乡建设主管部门应当依照有关法律法规和本规定，对“安管人员”持证上岗、教育培训和履行职责等情况进行监督检查。3、《安徽省促进散装水泥发展和应用条例》第六条　县级以上人民政府散装水泥行政主管部门负责本行政区域内散装水泥、预拌混凝土和预拌砂浆发展和应用的促进工作，相关具体工作由其所属的散装水泥管理机构承担，所需经费纳入同级财政预算。第三十条 县级以上人民政府散装水泥主管部门及其散装水泥管理机构应当会同公安机关交通管理部门，组织对散装水泥、预拌混凝土和预拌砂浆专用车辆驾驶人免费进行业务技能和安全培训。4、《安徽省发展新型墙体材料条例》第四条县人民政府墙体材料行政主管部门（以下简称墙体材料行政主管部门）负责本行政区域内发展新型墙体材料的管理工作。第十九条　墙体材料管理机构应当加强对新型墙体材料开发、生产和推广应用的指导和管理，并按照权限做好产品确认工作。安徽省新型墙体材料产品确认管理办法皖墙办[2013]24号第三条市级墙改办负责本地产品确认的材料审查、企业现场考核和产品质量抽检工作。</w:t>
      </w:r>
      <w:r>
        <w:rPr>
          <w:rFonts w:hint="eastAsia" w:ascii="TimesNewRoman" w:hAnsi="TimesNewRoman" w:eastAsia="仿宋_GB2312" w:cs="TimesNewRoman"/>
          <w:kern w:val="0"/>
          <w:sz w:val="32"/>
          <w:szCs w:val="32"/>
          <w:lang w:val="en-US" w:eastAsia="zh-CN"/>
        </w:rPr>
        <w:t>5、</w:t>
      </w:r>
      <w:r>
        <w:rPr>
          <w:rFonts w:hint="eastAsia" w:ascii="仿宋_GB2312" w:eastAsia="仿宋_GB2312" w:cs="仿宋_GB2312"/>
          <w:sz w:val="32"/>
          <w:szCs w:val="32"/>
        </w:rPr>
        <w:t>质量监管经费主要用于日常各项质量监督工作的开展，工作内容包括：监督检查工程实体的施工质量</w:t>
      </w:r>
      <w:r>
        <w:rPr>
          <w:rFonts w:ascii="仿宋_GB2312" w:eastAsia="仿宋_GB2312" w:cs="仿宋_GB2312"/>
          <w:sz w:val="32"/>
          <w:szCs w:val="32"/>
        </w:rPr>
        <w:t>,</w:t>
      </w:r>
      <w:r>
        <w:rPr>
          <w:rFonts w:hint="eastAsia" w:ascii="仿宋_GB2312" w:eastAsia="仿宋_GB2312" w:cs="仿宋_GB2312"/>
          <w:sz w:val="32"/>
          <w:szCs w:val="32"/>
        </w:rPr>
        <w:t>尤其是地基基础、主体结构、专业设备安装等涉及结构安全和使用功能的施工质量；组织开展各项质量专项检查和采取双随机一公开进行事权清单内容检查；对建筑材料和建筑实体进行抽查检测；组织或参与建设工程质量投诉的调查处理；完成住建局委托的工程质量监督管理工作。执行法律法规和工程建设强制性标准的情况，对工程竣工验收进行监督，抽查工程质量责任主体和质量检测单位的工程质量行为，定期对本地区工程质量状况进行统计分析。受城乡建委委托，贯彻落实国家和省、市关于建筑工程质量的法律法规，负责对全市建筑工程质量进行监督，分析存在质量问题及发展趋势，研究下一步质量管理措施。</w:t>
      </w:r>
      <w:r>
        <w:rPr>
          <w:rFonts w:hint="eastAsia" w:ascii="仿宋_GB2312" w:hAnsi="仿宋" w:eastAsia="仿宋_GB2312" w:cs="仿宋_GB2312"/>
          <w:sz w:val="32"/>
          <w:szCs w:val="32"/>
        </w:rPr>
        <w:t>为进一步加强我市建筑工程质量监督管理，提高我市建设工程混凝土结构实体质量，及时发现并消除结构质量隐患。具体检测内容主要包括：（1）承重结构混凝土强度；（2）楼板受力钢筋数量、位置及混凝土保护层厚度；（3）现浇楼板厚度；（4）混凝土梁、柱（剪力墙）钢筋保护层厚度；（5）砌体结构承重墙柱的砌筑砂浆强度；（6）安装工程中涉及安全及功能的重要项目；（7）钢结构焊缝及重要连接部位；（8）桩基完整性；（9）路基厚度、强度及路基原材料；（10）沥青混凝土、排水管材及沥青路面强度、厚度；（11）建筑节能材料；（12）进入工地现场的建筑原材料</w:t>
      </w:r>
      <w:r>
        <w:rPr>
          <w:rFonts w:hint="eastAsia" w:ascii="仿宋_GB2312" w:hAnsi="仿宋" w:eastAsia="仿宋_GB2312" w:cs="仿宋_GB2312"/>
          <w:sz w:val="32"/>
          <w:szCs w:val="32"/>
          <w:lang w:eastAsia="zh-CN"/>
        </w:rPr>
        <w:t>。</w:t>
      </w:r>
    </w:p>
    <w:p>
      <w:pPr>
        <w:pStyle w:val="3"/>
        <w:ind w:left="0" w:leftChars="0" w:firstLine="640" w:firstLineChars="200"/>
        <w:rPr>
          <w:rFonts w:hint="eastAsia" w:ascii="TimesNewRoman" w:hAnsi="TimesNewRoman" w:eastAsia="仿宋_GB2312" w:cs="TimesNewRoman"/>
          <w:kern w:val="0"/>
          <w:sz w:val="32"/>
          <w:szCs w:val="32"/>
          <w:lang w:val="en-US" w:eastAsia="zh-CN" w:bidi="ar-SA"/>
        </w:rPr>
      </w:pPr>
      <w:r>
        <w:rPr>
          <w:rFonts w:hint="eastAsia" w:ascii="仿宋_GB2312" w:eastAsia="仿宋_GB2312" w:cs="仿宋_GB2312"/>
          <w:sz w:val="32"/>
          <w:szCs w:val="32"/>
        </w:rPr>
        <w:t>根据往年产生的费用预算及工作需要，经费项目包括</w:t>
      </w:r>
      <w:r>
        <w:rPr>
          <w:rFonts w:hint="eastAsia" w:ascii="仿宋_GB2312" w:eastAsia="仿宋_GB2312" w:cs="仿宋_GB2312"/>
          <w:sz w:val="32"/>
          <w:szCs w:val="32"/>
          <w:lang w:eastAsia="zh-CN"/>
        </w:rPr>
        <w:t>办公费、</w:t>
      </w:r>
      <w:r>
        <w:rPr>
          <w:rFonts w:hint="eastAsia" w:ascii="仿宋_GB2312" w:eastAsia="仿宋_GB2312" w:cs="仿宋_GB2312"/>
          <w:sz w:val="32"/>
          <w:szCs w:val="32"/>
          <w:lang w:val="en-US" w:eastAsia="zh-CN"/>
        </w:rPr>
        <w:t>印刷</w:t>
      </w:r>
      <w:r>
        <w:rPr>
          <w:rFonts w:hint="eastAsia" w:ascii="仿宋_GB2312" w:eastAsia="仿宋_GB2312" w:cs="仿宋_GB2312"/>
          <w:sz w:val="32"/>
          <w:szCs w:val="32"/>
        </w:rPr>
        <w:t>费</w:t>
      </w:r>
      <w:r>
        <w:rPr>
          <w:rFonts w:hint="eastAsia" w:ascii="TimesNewRoman" w:hAnsi="TimesNewRoman" w:eastAsia="仿宋_GB2312" w:cs="TimesNewRoman"/>
          <w:kern w:val="0"/>
          <w:sz w:val="32"/>
          <w:szCs w:val="32"/>
          <w:lang w:val="en-US" w:eastAsia="zh-CN" w:bidi="ar-SA"/>
        </w:rPr>
        <w:t>、水费、电费、邮电费、物业管理费、差旅费、维修（护）费、租赁费、公务接待费、劳务费、委托业务费、其他交通费、其他商品和服务支出等。</w:t>
      </w:r>
    </w:p>
    <w:p>
      <w:pPr>
        <w:pStyle w:val="3"/>
        <w:ind w:left="0" w:leftChars="0" w:firstLine="640" w:firstLineChars="200"/>
        <w:rPr>
          <w:rFonts w:hint="eastAsia" w:ascii="仿宋_GB2312" w:eastAsia="仿宋_GB2312" w:cs="仿宋_GB2312"/>
          <w:sz w:val="32"/>
          <w:szCs w:val="32"/>
          <w:lang w:val="en-US" w:eastAsia="zh-CN"/>
        </w:rPr>
      </w:pPr>
      <w:r>
        <w:rPr>
          <w:rFonts w:hint="eastAsia" w:ascii="TimesNewRoman" w:hAnsi="TimesNewRoman" w:eastAsia="仿宋_GB2312" w:cs="TimesNewRoman"/>
          <w:kern w:val="0"/>
          <w:sz w:val="32"/>
          <w:szCs w:val="32"/>
          <w:lang w:val="en-US" w:eastAsia="zh-CN" w:bidi="ar-SA"/>
        </w:rPr>
        <w:t>（6）年度预算安排，一般公共预算拨款175.44万元</w:t>
      </w:r>
      <w:r>
        <w:rPr>
          <w:rFonts w:hint="eastAsia" w:ascii="仿宋_GB2312" w:eastAsia="仿宋_GB2312" w:cs="仿宋_GB2312"/>
          <w:sz w:val="32"/>
          <w:szCs w:val="32"/>
          <w:lang w:val="en-US"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7</w:t>
      </w:r>
      <w:r>
        <w:rPr>
          <w:rFonts w:hint="eastAsia" w:ascii="TimesNewRoman" w:hAnsi="TimesNewRoman" w:eastAsia="仿宋_GB2312" w:cs="TimesNewRoman"/>
          <w:kern w:val="0"/>
          <w:sz w:val="32"/>
          <w:szCs w:val="32"/>
        </w:rPr>
        <w:t>）绩效目标。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093"/>
        <w:gridCol w:w="2256"/>
        <w:gridCol w:w="1744"/>
        <w:gridCol w:w="10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pPr>
              <w:widowControl/>
              <w:jc w:val="center"/>
              <w:textAlignment w:val="center"/>
              <w:rPr>
                <w:rFonts w:hint="eastAsia" w:ascii="宋体" w:hAns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年度）</w:t>
            </w:r>
            <w:r>
              <w:rPr>
                <w:rFonts w:ascii="宋体" w:hAnsi="宋体" w:cs="宋体"/>
                <w:color w:val="000000"/>
                <w:kern w:val="0"/>
                <w:sz w:val="20"/>
                <w:szCs w:val="20"/>
              </w:rPr>
              <w:t xml:space="preserve">  </w:t>
            </w:r>
          </w:p>
          <w:p>
            <w:pPr>
              <w:widowControl/>
              <w:jc w:val="center"/>
              <w:textAlignment w:val="center"/>
              <w:rPr>
                <w:rFonts w:ascii="宋体" w:cs="宋体"/>
                <w:sz w:val="20"/>
              </w:rPr>
            </w:pPr>
            <w:r>
              <w:rPr>
                <w:rFonts w:ascii="宋体" w:hAnsi="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5"/>
            <w:vAlign w:val="center"/>
          </w:tcPr>
          <w:p>
            <w:pPr>
              <w:widowControl/>
              <w:jc w:val="center"/>
              <w:textAlignment w:val="center"/>
              <w:rPr>
                <w:rFonts w:ascii="宋体" w:hAnsi="宋体" w:cs="宋体"/>
                <w:color w:val="000000"/>
                <w:kern w:val="0"/>
                <w:sz w:val="20"/>
                <w:szCs w:val="20"/>
              </w:rPr>
            </w:pPr>
            <w:r>
              <w:rPr>
                <w:rFonts w:hint="eastAsia"/>
                <w:sz w:val="22"/>
                <w:szCs w:val="22"/>
              </w:rPr>
              <w:t>建筑市场安全管理运行费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w:t>
            </w:r>
            <w:r>
              <w:rPr>
                <w:rFonts w:ascii="宋体" w:hAnsi="宋体" w:cs="宋体"/>
                <w:color w:val="000000"/>
                <w:kern w:val="0"/>
                <w:sz w:val="20"/>
                <w:szCs w:val="20"/>
              </w:rPr>
              <w:t xml:space="preserve">   </w:t>
            </w:r>
            <w:r>
              <w:rPr>
                <w:rFonts w:hint="eastAsia" w:ascii="宋体" w:hAnsi="宋体" w:cs="宋体"/>
                <w:color w:val="000000"/>
                <w:kern w:val="0"/>
                <w:sz w:val="20"/>
                <w:szCs w:val="20"/>
              </w:rPr>
              <w:t>及代码</w:t>
            </w:r>
          </w:p>
        </w:tc>
        <w:tc>
          <w:tcPr>
            <w:tcW w:w="3349" w:type="dxa"/>
            <w:gridSpan w:val="2"/>
            <w:vAlign w:val="center"/>
          </w:tcPr>
          <w:p>
            <w:pPr>
              <w:jc w:val="center"/>
              <w:rPr>
                <w:rFonts w:ascii="宋体" w:cs="宋体"/>
                <w:sz w:val="20"/>
              </w:rPr>
            </w:pPr>
            <w:r>
              <w:rPr>
                <w:rFonts w:hint="eastAsia" w:ascii="宋体" w:cs="宋体"/>
                <w:sz w:val="20"/>
              </w:rPr>
              <w:t>[266]淮北市住房和城乡建设局</w:t>
            </w:r>
          </w:p>
        </w:tc>
        <w:tc>
          <w:tcPr>
            <w:tcW w:w="1848" w:type="dxa"/>
            <w:gridSpan w:val="2"/>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pPr>
              <w:jc w:val="center"/>
            </w:pPr>
            <w:r>
              <w:rPr>
                <w:rFonts w:hint="eastAsia"/>
              </w:rPr>
              <w:t>淮北市建筑工程管理处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hint="eastAsia" w:ascii="宋体" w:eastAsia="宋体" w:cs="宋体"/>
                <w:sz w:val="20"/>
                <w:lang w:eastAsia="zh-CN"/>
              </w:rPr>
            </w:pPr>
            <w:r>
              <w:rPr>
                <w:rFonts w:hint="eastAsia" w:ascii="宋体" w:cs="宋体"/>
                <w:sz w:val="20"/>
                <w:lang w:eastAsia="zh-CN"/>
              </w:rPr>
              <w:t>本级项目</w:t>
            </w:r>
          </w:p>
        </w:tc>
        <w:tc>
          <w:tcPr>
            <w:tcW w:w="1848" w:type="dxa"/>
            <w:gridSpan w:val="2"/>
            <w:vAlign w:val="center"/>
          </w:tcPr>
          <w:p>
            <w:pPr>
              <w:widowControl/>
              <w:jc w:val="center"/>
              <w:textAlignment w:val="center"/>
            </w:pPr>
            <w:r>
              <w:rPr>
                <w:rFonts w:hint="eastAsia" w:ascii="宋体" w:hAnsi="宋体" w:cs="宋体"/>
                <w:color w:val="000000"/>
                <w:kern w:val="0"/>
                <w:sz w:val="20"/>
                <w:szCs w:val="20"/>
              </w:rPr>
              <w:t>项目期</w:t>
            </w:r>
          </w:p>
        </w:tc>
        <w:tc>
          <w:tcPr>
            <w:tcW w:w="2380" w:type="dxa"/>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年度资金总额：</w:t>
            </w:r>
          </w:p>
        </w:tc>
        <w:tc>
          <w:tcPr>
            <w:tcW w:w="4228" w:type="dxa"/>
            <w:gridSpan w:val="3"/>
            <w:vAlign w:val="center"/>
          </w:tcPr>
          <w:p>
            <w:pPr>
              <w:jc w:val="right"/>
              <w:rPr>
                <w:rFonts w:hint="default" w:ascii="宋体" w:eastAsia="宋体" w:cs="宋体"/>
                <w:sz w:val="20"/>
                <w:lang w:val="en-US" w:eastAsia="zh-CN"/>
              </w:rPr>
            </w:pPr>
            <w:r>
              <w:rPr>
                <w:rFonts w:hint="eastAsia" w:ascii="宋体" w:cs="宋体"/>
                <w:sz w:val="20"/>
                <w:lang w:val="en-US" w:eastAsia="zh-CN"/>
              </w:rPr>
              <w:t>175.44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其中：财政拨款</w:t>
            </w:r>
          </w:p>
        </w:tc>
        <w:tc>
          <w:tcPr>
            <w:tcW w:w="4228" w:type="dxa"/>
            <w:gridSpan w:val="3"/>
            <w:vAlign w:val="center"/>
          </w:tcPr>
          <w:p>
            <w:pPr>
              <w:jc w:val="right"/>
              <w:rPr>
                <w:rFonts w:hint="default" w:ascii="宋体" w:eastAsia="宋体" w:cs="宋体"/>
                <w:sz w:val="20"/>
                <w:lang w:val="en-US" w:eastAsia="zh-CN"/>
              </w:rPr>
            </w:pPr>
            <w:r>
              <w:rPr>
                <w:rFonts w:hint="eastAsia" w:ascii="宋体" w:cs="宋体"/>
                <w:sz w:val="20"/>
                <w:lang w:val="en-US" w:eastAsia="zh-CN"/>
              </w:rPr>
              <w:t>175.44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上年结转</w:t>
            </w:r>
          </w:p>
        </w:tc>
        <w:tc>
          <w:tcPr>
            <w:tcW w:w="4228" w:type="dxa"/>
            <w:gridSpan w:val="3"/>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4228" w:type="dxa"/>
            <w:gridSpan w:val="3"/>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7"/>
            <w:vAlign w:val="center"/>
          </w:tcPr>
          <w:p>
            <w:pPr>
              <w:jc w:val="left"/>
              <w:rPr>
                <w:rFonts w:hint="eastAsia" w:ascii="宋体" w:eastAsia="宋体" w:cs="宋体"/>
                <w:sz w:val="20"/>
                <w:lang w:val="en-US" w:eastAsia="zh-CN"/>
              </w:rPr>
            </w:pPr>
            <w:r>
              <w:rPr>
                <w:rFonts w:hint="eastAsia"/>
                <w:sz w:val="20"/>
                <w:szCs w:val="20"/>
              </w:rPr>
              <w:t>目标1：</w:t>
            </w:r>
            <w:r>
              <w:rPr>
                <w:rFonts w:hint="eastAsia" w:ascii="宋体" w:cs="宋体"/>
                <w:sz w:val="20"/>
              </w:rPr>
              <w:t>保障单位工作的日常运转</w:t>
            </w:r>
            <w:r>
              <w:rPr>
                <w:rFonts w:hint="eastAsia" w:ascii="宋体" w:cs="宋体"/>
                <w:sz w:val="20"/>
                <w:lang w:eastAsia="zh-CN"/>
              </w:rPr>
              <w:t>，</w:t>
            </w:r>
            <w:r>
              <w:rPr>
                <w:rFonts w:hint="eastAsia"/>
                <w:sz w:val="20"/>
                <w:szCs w:val="20"/>
              </w:rPr>
              <w:t>对全市建筑业范围内的各项管理，确保全市建设工程的质量和安全。负责建筑工程安全监督，文明施工，扬尘治理等。负责行政区域内散装水泥、预拌混泥土和预拌砂浆发展和应用的促进工作。承担墙体材料革新和建筑材料节能管理。加快推进建筑工人实名制。行政府购买服务方式开展工程质量安全监督检查和第三方检测工作.</w:t>
            </w:r>
            <w:r>
              <w:rPr>
                <w:rFonts w:hint="eastAsia"/>
              </w:rPr>
              <w:t xml:space="preserve"> </w:t>
            </w:r>
            <w:r>
              <w:rPr>
                <w:rFonts w:hint="eastAsia"/>
                <w:sz w:val="20"/>
                <w:szCs w:val="20"/>
              </w:rPr>
              <w:t>协助拟定全市建筑施工图设计文件（含人防、消防、技防等）审查、抽查、备案的政策、规章制度；负责消防验收和监督工作，指导区县、开发园区建设工程消防工作，负责拟定全市建筑、住宅室内外装饰装修管理规章并并监督实施，监督指导装饰装修市场管理和招标活动，管理装饰装修企业资质和专业技术人员执业资格，监督装饰装修工程质量安全等，淮北市经济开发区内建设合同备案、质量监督，安全监督及施工图备案等施工许可的前期手续，建筑工程质量，安全文明施工活动监督及农民工工资投诉受理审批相关报件，办理工程竣工备案，建筑工程，建筑装饰装修工程违法行为查出工作</w:t>
            </w:r>
            <w:r>
              <w:rPr>
                <w:rFonts w:hint="eastAsia"/>
                <w:sz w:val="20"/>
                <w:szCs w:val="20"/>
                <w:lang w:val="en-US" w:eastAsia="zh-CN"/>
              </w:rPr>
              <w:t>.</w:t>
            </w:r>
            <w:r>
              <w:rPr>
                <w:rFonts w:hint="eastAsia"/>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4000"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2484"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1375" w:type="dxa"/>
            <w:gridSpan w:val="2"/>
            <w:vMerge w:val="restart"/>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4000" w:type="dxa"/>
            <w:gridSpan w:val="2"/>
            <w:vAlign w:val="center"/>
          </w:tcPr>
          <w:p>
            <w:pPr>
              <w:widowControl/>
              <w:jc w:val="left"/>
              <w:textAlignment w:val="center"/>
              <w:rPr>
                <w:rFonts w:hint="eastAsia"/>
                <w:sz w:val="20"/>
                <w:szCs w:val="20"/>
              </w:rPr>
            </w:pPr>
            <w:r>
              <w:rPr>
                <w:rFonts w:hint="eastAsia" w:ascii="宋体" w:hAnsi="宋体" w:cs="宋体"/>
                <w:color w:val="000000"/>
                <w:kern w:val="0"/>
                <w:sz w:val="20"/>
                <w:szCs w:val="20"/>
              </w:rPr>
              <w:t>工作任务完成率</w:t>
            </w:r>
          </w:p>
        </w:tc>
        <w:tc>
          <w:tcPr>
            <w:tcW w:w="2484" w:type="dxa"/>
            <w:gridSpan w:val="2"/>
            <w:vAlign w:val="center"/>
          </w:tcPr>
          <w:p>
            <w:pPr>
              <w:jc w:val="center"/>
              <w:rPr>
                <w:rFonts w:hint="eastAsia" w:ascii="宋体" w:hAnsi="宋体" w:cs="宋体"/>
                <w:color w:val="000000"/>
                <w:kern w:val="0"/>
                <w:sz w:val="20"/>
                <w:szCs w:val="20"/>
              </w:rPr>
            </w:pPr>
            <w:r>
              <w:rPr>
                <w:rFonts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continue"/>
            <w:vAlign w:val="center"/>
          </w:tcPr>
          <w:p>
            <w:pPr>
              <w:widowControl/>
              <w:jc w:val="center"/>
              <w:textAlignment w:val="center"/>
              <w:rPr>
                <w:rFonts w:ascii="宋体" w:cs="宋体"/>
                <w:sz w:val="20"/>
              </w:rPr>
            </w:pPr>
          </w:p>
        </w:tc>
        <w:tc>
          <w:tcPr>
            <w:tcW w:w="1375" w:type="dxa"/>
            <w:gridSpan w:val="2"/>
            <w:vMerge w:val="continue"/>
            <w:vAlign w:val="center"/>
          </w:tcPr>
          <w:p>
            <w:pPr>
              <w:widowControl/>
              <w:spacing w:line="200" w:lineRule="exact"/>
              <w:jc w:val="center"/>
              <w:textAlignment w:val="center"/>
              <w:rPr>
                <w:rFonts w:ascii="宋体" w:cs="宋体"/>
                <w:sz w:val="20"/>
              </w:rPr>
            </w:pPr>
          </w:p>
        </w:tc>
        <w:tc>
          <w:tcPr>
            <w:tcW w:w="4000" w:type="dxa"/>
            <w:gridSpan w:val="2"/>
            <w:vAlign w:val="center"/>
          </w:tcPr>
          <w:p>
            <w:pPr>
              <w:rPr>
                <w:rFonts w:hint="eastAsia" w:ascii="宋体" w:hAnsi="宋体" w:cs="宋体"/>
                <w:color w:val="000000"/>
                <w:kern w:val="0"/>
                <w:sz w:val="20"/>
                <w:szCs w:val="20"/>
              </w:rPr>
            </w:pPr>
            <w:r>
              <w:rPr>
                <w:rFonts w:hint="eastAsia"/>
                <w:sz w:val="20"/>
                <w:szCs w:val="20"/>
              </w:rPr>
              <w:t>对全市建筑业范围内的各项管理，确保全市建设工程的质量和安全。</w:t>
            </w:r>
          </w:p>
        </w:tc>
        <w:tc>
          <w:tcPr>
            <w:tcW w:w="2484" w:type="dxa"/>
            <w:gridSpan w:val="2"/>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1375" w:type="dxa"/>
            <w:gridSpan w:val="2"/>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4000" w:type="dxa"/>
            <w:gridSpan w:val="2"/>
            <w:vAlign w:val="center"/>
          </w:tcPr>
          <w:p>
            <w:pPr>
              <w:rPr>
                <w:rFonts w:hint="eastAsia" w:ascii="宋体" w:hAnsi="宋体" w:cs="宋体"/>
                <w:color w:val="000000"/>
                <w:kern w:val="0"/>
                <w:sz w:val="20"/>
                <w:szCs w:val="20"/>
              </w:rPr>
            </w:pPr>
            <w:r>
              <w:rPr>
                <w:rFonts w:hint="eastAsia"/>
                <w:sz w:val="20"/>
                <w:szCs w:val="20"/>
              </w:rPr>
              <w:t>负责建筑工程安全监督，文明施工，扬尘治理等</w:t>
            </w:r>
          </w:p>
        </w:tc>
        <w:tc>
          <w:tcPr>
            <w:tcW w:w="2484" w:type="dxa"/>
            <w:gridSpan w:val="2"/>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1375" w:type="dxa"/>
            <w:gridSpan w:val="2"/>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4000" w:type="dxa"/>
            <w:gridSpan w:val="2"/>
            <w:vAlign w:val="center"/>
          </w:tcPr>
          <w:p>
            <w:pPr>
              <w:rPr>
                <w:rFonts w:hint="eastAsia" w:ascii="宋体" w:hAnsi="宋体" w:cs="宋体"/>
                <w:color w:val="000000"/>
                <w:kern w:val="0"/>
                <w:sz w:val="20"/>
                <w:szCs w:val="20"/>
              </w:rPr>
            </w:pPr>
            <w:r>
              <w:rPr>
                <w:rFonts w:hint="eastAsia"/>
                <w:sz w:val="20"/>
                <w:szCs w:val="20"/>
              </w:rPr>
              <w:t>负责行政区域内散装水泥、预拌混泥土和预拌砂浆发展和应用的促进工作。承担墙体材料革新和建筑材料节能管理</w:t>
            </w:r>
          </w:p>
        </w:tc>
        <w:tc>
          <w:tcPr>
            <w:tcW w:w="2484" w:type="dxa"/>
            <w:gridSpan w:val="2"/>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1375" w:type="dxa"/>
            <w:gridSpan w:val="2"/>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4000" w:type="dxa"/>
            <w:gridSpan w:val="2"/>
            <w:vAlign w:val="center"/>
          </w:tcPr>
          <w:p>
            <w:pPr>
              <w:rPr>
                <w:rFonts w:hint="eastAsia" w:ascii="宋体" w:hAnsi="宋体" w:cs="宋体"/>
                <w:color w:val="000000"/>
                <w:kern w:val="0"/>
                <w:sz w:val="20"/>
                <w:szCs w:val="20"/>
              </w:rPr>
            </w:pPr>
            <w:r>
              <w:rPr>
                <w:rFonts w:hint="eastAsia"/>
                <w:sz w:val="20"/>
                <w:szCs w:val="20"/>
              </w:rPr>
              <w:t>保障建管处工作正常开展</w:t>
            </w:r>
          </w:p>
        </w:tc>
        <w:tc>
          <w:tcPr>
            <w:tcW w:w="2484" w:type="dxa"/>
            <w:gridSpan w:val="2"/>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continue"/>
            <w:vAlign w:val="center"/>
          </w:tcPr>
          <w:p>
            <w:pPr>
              <w:widowControl/>
              <w:jc w:val="center"/>
              <w:textAlignment w:val="center"/>
              <w:rPr>
                <w:rFonts w:hint="eastAsia" w:ascii="宋体" w:hAnsi="宋体" w:cs="宋体"/>
                <w:color w:val="000000"/>
                <w:kern w:val="0"/>
                <w:sz w:val="20"/>
                <w:szCs w:val="20"/>
              </w:rPr>
            </w:pPr>
          </w:p>
        </w:tc>
        <w:tc>
          <w:tcPr>
            <w:tcW w:w="723" w:type="dxa"/>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1375" w:type="dxa"/>
            <w:gridSpan w:val="2"/>
            <w:vMerge w:val="continue"/>
            <w:vAlign w:val="center"/>
          </w:tcPr>
          <w:p>
            <w:pPr>
              <w:widowControl/>
              <w:spacing w:line="200" w:lineRule="exact"/>
              <w:jc w:val="center"/>
              <w:textAlignment w:val="center"/>
              <w:rPr>
                <w:rFonts w:hint="eastAsia" w:ascii="宋体" w:hAnsi="宋体" w:cs="宋体"/>
                <w:color w:val="000000"/>
                <w:kern w:val="0"/>
                <w:sz w:val="20"/>
                <w:szCs w:val="20"/>
              </w:rPr>
            </w:pPr>
          </w:p>
        </w:tc>
        <w:tc>
          <w:tcPr>
            <w:tcW w:w="4000" w:type="dxa"/>
            <w:gridSpan w:val="2"/>
            <w:vAlign w:val="center"/>
          </w:tcPr>
          <w:p>
            <w:pPr>
              <w:rPr>
                <w:rFonts w:hint="eastAsia"/>
                <w:sz w:val="20"/>
                <w:szCs w:val="20"/>
              </w:rPr>
            </w:pPr>
            <w:r>
              <w:rPr>
                <w:rFonts w:hint="eastAsia"/>
                <w:sz w:val="20"/>
                <w:szCs w:val="20"/>
              </w:rPr>
              <w:t>工程质量安全监督检查</w:t>
            </w:r>
          </w:p>
        </w:tc>
        <w:tc>
          <w:tcPr>
            <w:tcW w:w="2484" w:type="dxa"/>
            <w:gridSpan w:val="2"/>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经费支出合规性</w:t>
            </w:r>
          </w:p>
        </w:tc>
        <w:tc>
          <w:tcPr>
            <w:tcW w:w="2484" w:type="dxa"/>
            <w:gridSpan w:val="2"/>
            <w:vAlign w:val="center"/>
          </w:tcPr>
          <w:p>
            <w:pPr>
              <w:jc w:val="center"/>
              <w:rPr>
                <w:rFonts w:ascii="宋体" w:cs="宋体"/>
                <w:sz w:val="20"/>
              </w:rPr>
            </w:pPr>
            <w:r>
              <w:rPr>
                <w:rFonts w:hint="eastAsia" w:ascii="宋体" w:cs="宋体"/>
                <w:sz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sz w:val="20"/>
                <w:szCs w:val="20"/>
              </w:rPr>
              <w:t>项目是否按照计划时间完成</w:t>
            </w:r>
          </w:p>
        </w:tc>
        <w:tc>
          <w:tcPr>
            <w:tcW w:w="2484" w:type="dxa"/>
            <w:gridSpan w:val="2"/>
            <w:vAlign w:val="center"/>
          </w:tcPr>
          <w:p>
            <w:pPr>
              <w:jc w:val="center"/>
              <w:rPr>
                <w:rFonts w:ascii="宋体" w:cs="宋体"/>
                <w:sz w:val="20"/>
              </w:rPr>
            </w:pPr>
            <w:r>
              <w:rPr>
                <w:rFonts w:hint="eastAsia" w:ascii="宋体" w:hAnsi="宋体" w:cs="宋体"/>
                <w:color w:val="000000"/>
                <w:kern w:val="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控制在批复概算内</w:t>
            </w:r>
          </w:p>
        </w:tc>
        <w:tc>
          <w:tcPr>
            <w:tcW w:w="2484" w:type="dxa"/>
            <w:gridSpan w:val="2"/>
            <w:vAlign w:val="center"/>
          </w:tcPr>
          <w:p>
            <w:pPr>
              <w:jc w:val="center"/>
              <w:rPr>
                <w:rFonts w:ascii="宋体" w:cs="宋体"/>
                <w:sz w:val="20"/>
              </w:rPr>
            </w:pPr>
            <w:r>
              <w:rPr>
                <w:rFonts w:hint="eastAsia" w:ascii="宋体" w:cs="宋体"/>
                <w:sz w:val="20"/>
              </w:rPr>
              <w:t>在批复概算内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对经济发展带来影响和效果</w:t>
            </w:r>
          </w:p>
        </w:tc>
        <w:tc>
          <w:tcPr>
            <w:tcW w:w="2484" w:type="dxa"/>
            <w:gridSpan w:val="2"/>
            <w:vAlign w:val="center"/>
          </w:tcPr>
          <w:p>
            <w:pPr>
              <w:jc w:val="center"/>
              <w:rPr>
                <w:rFonts w:ascii="宋体" w:cs="宋体"/>
                <w:sz w:val="20"/>
              </w:rPr>
            </w:pPr>
            <w:r>
              <w:rPr>
                <w:rFonts w:hint="eastAsia" w:ascii="宋体" w:cs="宋体"/>
                <w:sz w:val="20"/>
              </w:rPr>
              <w:t>带来经济效益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4000" w:type="dxa"/>
            <w:gridSpan w:val="2"/>
            <w:vAlign w:val="center"/>
          </w:tcPr>
          <w:p>
            <w:pPr>
              <w:rPr>
                <w:rFonts w:ascii="宋体" w:hAnsi="宋体" w:cs="宋体"/>
                <w:color w:val="000000"/>
                <w:kern w:val="0"/>
                <w:sz w:val="20"/>
                <w:szCs w:val="20"/>
              </w:rPr>
            </w:pPr>
            <w:r>
              <w:rPr>
                <w:rFonts w:hint="eastAsia"/>
                <w:sz w:val="20"/>
                <w:szCs w:val="20"/>
              </w:rPr>
              <w:t>推动建筑市场健康文明发展影响程度</w:t>
            </w:r>
          </w:p>
        </w:tc>
        <w:tc>
          <w:tcPr>
            <w:tcW w:w="2484" w:type="dxa"/>
            <w:gridSpan w:val="2"/>
            <w:vAlign w:val="center"/>
          </w:tcPr>
          <w:p>
            <w:pPr>
              <w:rPr>
                <w:rFonts w:ascii="宋体" w:cs="宋体"/>
                <w:sz w:val="20"/>
              </w:rPr>
            </w:pPr>
            <w:r>
              <w:rPr>
                <w:rFonts w:hint="eastAsia"/>
                <w:sz w:val="20"/>
                <w:szCs w:val="20"/>
              </w:rPr>
              <w:t>推动建筑市场健康文明发展影响程度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改善环境</w:t>
            </w:r>
          </w:p>
        </w:tc>
        <w:tc>
          <w:tcPr>
            <w:tcW w:w="2484" w:type="dxa"/>
            <w:gridSpan w:val="2"/>
            <w:vAlign w:val="center"/>
          </w:tcPr>
          <w:p>
            <w:pPr>
              <w:jc w:val="center"/>
              <w:rPr>
                <w:rFonts w:ascii="宋体" w:cs="宋体"/>
                <w:sz w:val="20"/>
              </w:rPr>
            </w:pPr>
            <w:r>
              <w:rPr>
                <w:rFonts w:hint="eastAsia" w:ascii="宋体" w:cs="宋体"/>
                <w:sz w:val="20"/>
              </w:rPr>
              <w:t>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1375" w:type="dxa"/>
            <w:gridSpan w:val="2"/>
            <w:vAlign w:val="center"/>
          </w:tcPr>
          <w:p>
            <w:pPr>
              <w:widowControl/>
              <w:spacing w:line="200" w:lineRule="exact"/>
              <w:jc w:val="center"/>
              <w:rPr>
                <w:rFonts w:ascii="宋体" w:cs="宋体"/>
                <w:sz w:val="20"/>
              </w:rPr>
            </w:pPr>
            <w:r>
              <w:rPr>
                <w:rFonts w:hint="eastAsia" w:ascii="宋体" w:hAnsi="宋体" w:cs="宋体"/>
                <w:sz w:val="20"/>
              </w:rPr>
              <w:t>可持续影响指标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项目持续发挥作用</w:t>
            </w:r>
            <w:bookmarkStart w:id="0" w:name="_GoBack"/>
            <w:bookmarkEnd w:id="0"/>
          </w:p>
        </w:tc>
        <w:tc>
          <w:tcPr>
            <w:tcW w:w="2484" w:type="dxa"/>
            <w:gridSpan w:val="2"/>
            <w:vAlign w:val="center"/>
          </w:tcPr>
          <w:p>
            <w:pPr>
              <w:jc w:val="center"/>
              <w:rPr>
                <w:rFonts w:ascii="宋体" w:cs="宋体"/>
                <w:sz w:val="20"/>
              </w:rPr>
            </w:pPr>
            <w:r>
              <w:rPr>
                <w:rFonts w:hint="eastAsia" w:ascii="宋体" w:cs="宋体"/>
                <w:sz w:val="20"/>
              </w:rPr>
              <w:t>项目持续发挥作用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cs="宋体"/>
                <w:sz w:val="20"/>
              </w:rPr>
            </w:pPr>
            <w:r>
              <w:rPr>
                <w:rFonts w:hint="eastAsia" w:ascii="宋体" w:hAnsi="宋体" w:cs="宋体"/>
                <w:sz w:val="20"/>
              </w:rPr>
              <w:t>满意度指标</w:t>
            </w:r>
          </w:p>
        </w:tc>
        <w:tc>
          <w:tcPr>
            <w:tcW w:w="1375" w:type="dxa"/>
            <w:gridSpan w:val="2"/>
            <w:vAlign w:val="center"/>
          </w:tcPr>
          <w:p>
            <w:pPr>
              <w:widowControl/>
              <w:spacing w:line="200" w:lineRule="exact"/>
              <w:jc w:val="center"/>
              <w:rPr>
                <w:rFonts w:ascii="宋体" w:cs="宋体"/>
                <w:sz w:val="20"/>
              </w:rPr>
            </w:pPr>
            <w:r>
              <w:rPr>
                <w:rFonts w:hint="eastAsia" w:ascii="宋体" w:hAnsi="宋体" w:cs="宋体"/>
                <w:sz w:val="20"/>
              </w:rPr>
              <w:t>满意度指标</w:t>
            </w:r>
          </w:p>
        </w:tc>
        <w:tc>
          <w:tcPr>
            <w:tcW w:w="4000" w:type="dxa"/>
            <w:gridSpan w:val="2"/>
            <w:vAlign w:val="center"/>
          </w:tcPr>
          <w:p>
            <w:pPr>
              <w:widowControl/>
              <w:jc w:val="left"/>
              <w:textAlignment w:val="center"/>
              <w:rPr>
                <w:rFonts w:ascii="宋体" w:hAnsi="宋体" w:cs="宋体"/>
                <w:color w:val="000000"/>
                <w:kern w:val="0"/>
                <w:sz w:val="20"/>
                <w:szCs w:val="20"/>
              </w:rPr>
            </w:pPr>
            <w:r>
              <w:rPr>
                <w:rFonts w:hint="eastAsia" w:ascii="宋体" w:cs="宋体"/>
                <w:sz w:val="20"/>
              </w:rPr>
              <w:t>服务对象满意度</w:t>
            </w:r>
          </w:p>
        </w:tc>
        <w:tc>
          <w:tcPr>
            <w:tcW w:w="2484" w:type="dxa"/>
            <w:gridSpan w:val="2"/>
            <w:vAlign w:val="center"/>
          </w:tcPr>
          <w:p>
            <w:pPr>
              <w:jc w:val="center"/>
              <w:rPr>
                <w:rFonts w:ascii="宋体" w:cs="宋体"/>
                <w:sz w:val="20"/>
              </w:rPr>
            </w:pPr>
            <w:r>
              <w:rPr>
                <w:rFonts w:hint="default" w:ascii="Arial" w:hAnsi="Arial" w:cs="Arial"/>
                <w:sz w:val="20"/>
              </w:rPr>
              <w:t>≥</w:t>
            </w:r>
            <w:r>
              <w:rPr>
                <w:rFonts w:hint="default" w:ascii="Arial" w:hAnsi="Arial" w:cs="Arial"/>
                <w:sz w:val="20"/>
                <w:lang w:val="en"/>
              </w:rPr>
              <w:t>90</w:t>
            </w:r>
            <w:r>
              <w:rPr>
                <w:rFonts w:hint="eastAsia" w:ascii="Arial" w:hAnsi="Arial" w:cs="Arial"/>
                <w:sz w:val="20"/>
                <w:lang w:val="en" w:eastAsia="zh-CN"/>
              </w:rPr>
              <w:t>％</w:t>
            </w:r>
          </w:p>
        </w:tc>
      </w:tr>
    </w:tbl>
    <w:p>
      <w:pPr>
        <w:pStyle w:val="3"/>
        <w:ind w:left="0" w:leftChars="0" w:firstLine="0" w:firstLineChars="0"/>
      </w:pPr>
    </w:p>
    <w:p>
      <w:pPr>
        <w:ind w:firstLine="420" w:firstLineChars="200"/>
      </w:pP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2024年单位预算安排购置公务用车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bCs/>
          <w:sz w:val="32"/>
          <w:szCs w:val="32"/>
          <w:lang w:eastAsia="zh-CN"/>
        </w:rPr>
        <w:t>建筑工程管理处</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175.44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2000000" w:usb3="00000000" w:csb0="2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roma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roma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05811"/>
    <w:multiLevelType w:val="multilevel"/>
    <w:tmpl w:val="35905811"/>
    <w:lvl w:ilvl="0" w:tentative="0">
      <w:start w:val="1"/>
      <w:numFmt w:val="decimal"/>
      <w:suff w:val="space"/>
      <w:lvlText w:val="%1."/>
      <w:lvlJc w:val="left"/>
      <w:pPr>
        <w:tabs>
          <w:tab w:val="left" w:pos="0"/>
        </w:tabs>
      </w:pPr>
      <w:rPr>
        <w:rFonts w:hint="default" w:ascii="宋体" w:hAnsi="宋体" w:eastAsia="宋体" w:cs="Times New Roman"/>
      </w:rPr>
    </w:lvl>
    <w:lvl w:ilvl="1" w:tentative="0">
      <w:start w:val="1"/>
      <w:numFmt w:val="decimal"/>
      <w:pStyle w:val="2"/>
      <w:suff w:val="space"/>
      <w:lvlText w:val="%1.%2."/>
      <w:lvlJc w:val="left"/>
      <w:pPr>
        <w:tabs>
          <w:tab w:val="left" w:pos="0"/>
        </w:tabs>
      </w:pPr>
      <w:rPr>
        <w:rFonts w:hint="default" w:ascii="宋体" w:hAnsi="宋体" w:eastAsia="宋体" w:cs="Times New Roman"/>
      </w:rPr>
    </w:lvl>
    <w:lvl w:ilvl="2" w:tentative="0">
      <w:start w:val="1"/>
      <w:numFmt w:val="decimal"/>
      <w:suff w:val="space"/>
      <w:lvlText w:val="%1.%2.%3."/>
      <w:lvlJc w:val="left"/>
      <w:pPr>
        <w:tabs>
          <w:tab w:val="left" w:pos="0"/>
        </w:tabs>
      </w:pPr>
      <w:rPr>
        <w:rFonts w:hint="default" w:ascii="Times New Roman" w:hAnsi="Times New Roman" w:eastAsia="宋体" w:cs="宋体"/>
      </w:rPr>
    </w:lvl>
    <w:lvl w:ilvl="3" w:tentative="0">
      <w:start w:val="1"/>
      <w:numFmt w:val="decimal"/>
      <w:suff w:val="space"/>
      <w:lvlText w:val="%1.%2.%3.%4."/>
      <w:lvlJc w:val="left"/>
      <w:pPr>
        <w:tabs>
          <w:tab w:val="left" w:pos="420"/>
        </w:tabs>
      </w:pPr>
      <w:rPr>
        <w:rFonts w:hint="default" w:ascii="宋体" w:hAnsi="宋体" w:eastAsia="宋体" w:cs="宋体"/>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19DC71FA"/>
    <w:rsid w:val="225443E0"/>
    <w:rsid w:val="240D4D82"/>
    <w:rsid w:val="3DE14FAF"/>
    <w:rsid w:val="406D1FA1"/>
    <w:rsid w:val="45B7159E"/>
    <w:rsid w:val="4E386C80"/>
    <w:rsid w:val="50B30973"/>
    <w:rsid w:val="6985092D"/>
    <w:rsid w:val="7D043D64"/>
    <w:rsid w:val="7F788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adjustRightInd w:val="0"/>
      <w:snapToGrid w:val="0"/>
      <w:spacing w:line="440" w:lineRule="exact"/>
      <w:outlineLvl w:val="1"/>
    </w:pPr>
    <w:rPr>
      <w:rFonts w:ascii="Cambria" w:hAnsi="Cambria"/>
      <w:b/>
      <w:bCs/>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420"/>
    </w:pPr>
    <w:rPr>
      <w:rFonts w:eastAsia="宋体"/>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font14"/>
    <w:basedOn w:val="1"/>
    <w:qFormat/>
    <w:uiPriority w:val="0"/>
    <w:pPr>
      <w:widowControl/>
      <w:spacing w:before="100" w:beforeAutospacing="1" w:after="100" w:afterAutospacing="1"/>
      <w:jc w:val="left"/>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7715</Words>
  <Characters>8397</Characters>
  <Lines>48</Lines>
  <Paragraphs>13</Paragraphs>
  <TotalTime>1</TotalTime>
  <ScaleCrop>false</ScaleCrop>
  <LinksUpToDate>false</LinksUpToDate>
  <CharactersWithSpaces>8531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2025-02-24T10:44:42Z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eyJoZGlkIjoiMjQyZWZlZTI1MzgxYzg2MzVlNGE4ZDZkZjc3Nzg2YmEiLCJ1c2VySWQiOiI0ODUwNzM0NTUifQ==</vt:lpwstr>
  </property>
  <property fmtid="{D5CDD505-2E9C-101B-9397-08002B2CF9AE}" pid="3" name="KSOProductBuildVer">
    <vt:lpwstr>2052-11.8.2.9849</vt:lpwstr>
  </property>
  <property fmtid="{D5CDD505-2E9C-101B-9397-08002B2CF9AE}" pid="4" name="ICV">
    <vt:lpwstr>124011E9C6B04F02849E1EFEF4F51AC9_13</vt:lpwstr>
  </property>
</Properties>
</file>