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城市建设档案馆</w:t>
      </w:r>
      <w:r>
        <w:rPr>
          <w:rFonts w:hint="eastAsia" w:ascii="TimesNewRoman" w:hAnsi="TimesNewRoman" w:eastAsia="华文中宋" w:cs="TimesNewRoman"/>
          <w:b/>
          <w:sz w:val="44"/>
          <w:szCs w:val="44"/>
        </w:rPr>
        <w:t>2025年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2025年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单位概况</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2、单位预算构成</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、2025年度主要工作任务</w:t>
      </w:r>
    </w:p>
    <w:p>
      <w:pPr>
        <w:pStyle w:val="5"/>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2025年单位预算表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2025年收入总表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2025年支出总表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2025年财政拨款收支总表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2025年一般公共预算支出表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2025年一般公共预算基本支出表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2025年政府性基金预算支出表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2025年国有资本经营预算支出表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2025年项目支出表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2025年政府采购支出表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2025年政府购买服务支出表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城市建设档案馆</w:t>
      </w:r>
      <w:r>
        <w:rPr>
          <w:rFonts w:ascii="TimesNewRoman" w:hAnsi="TimesNewRoman" w:eastAsia="仿宋_GB2312" w:cs="TimesNewRoman"/>
          <w:bCs/>
          <w:sz w:val="32"/>
          <w:szCs w:val="32"/>
        </w:rPr>
        <w:t>2025年通用资产配置支出表</w:t>
      </w:r>
    </w:p>
    <w:p>
      <w:pPr>
        <w:pStyle w:val="5"/>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2025年单位预算情况说明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1、关于2025年收支总表的说明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2、关于2025年收入总表的说明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3、关于2025年支出总表的说明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4、关于2025年财政拨款收支总表的说明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5、关于2025年一般公共预算支出表的说明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6、关于2025年一般公共预算基本支出表的说明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7、关于2025年政府性基金预算支出表的说明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8、关于2025年国有资本经营预算支出表的说明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9、关于2025年项目支出表的说明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10、关于2025年政府采购支出表的说明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11、关于2025年政府购买服务支出表的说明</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12、关于2025年通用资产配置支出表的说明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13、</w:t>
      </w:r>
      <w:r>
        <w:rPr>
          <w:rFonts w:hint="eastAsia" w:ascii="TimesNewRoman" w:hAnsi="TimesNewRoman" w:eastAsia="仿宋_GB2312" w:cs="TimesNewRoman"/>
          <w:bCs/>
          <w:sz w:val="32"/>
          <w:szCs w:val="32"/>
        </w:rPr>
        <w:t>其他重要事项情况说明</w:t>
      </w:r>
    </w:p>
    <w:p>
      <w:pPr>
        <w:pStyle w:val="5"/>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预算纳入绩效考评项目表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bCs/>
          <w:sz w:val="32"/>
          <w:szCs w:val="32"/>
        </w:rPr>
        <w:t>2025年</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预算专项资金管理清单（专栏公开）</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单位概况</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42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SA"/>
        </w:rPr>
        <w:t>（一）负责贯彻落实国家城市建设工程档案及城市地下管线工程档案法律法规，拟订并组织实施全市城市建设档案事业发展规划，制订本市城建档案规范性文件和业务技术标准。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42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SA"/>
        </w:rPr>
        <w:t>（二）负责对全市城市建设档案及城市地下管线工程档案的监督指导、综合管理和信息化建设工作，指导区、县及各建设单位城建档案工作。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42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SA"/>
        </w:rPr>
        <w:t>（三）负责城建档案工作的日常管理工作，对列入城建档案馆接收范围的工程档案进行业务指导，参加建设工程竣工联合验收，核发《建设工程档案业务指导意见书》和《建设工程档案接收与移交证明》。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42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SA"/>
        </w:rPr>
        <w:t>（四）负责对全市城市建设档案和城市地下管线工程档案统一接收、保管、调阅利用、编研、验收、管理及档案信息资源的开发利用，为城市规划、建设、管理提供基础数据支撑。</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二、单位预算构成</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城市建设档案馆</w:t>
      </w:r>
      <w:r>
        <w:rPr>
          <w:rFonts w:hint="eastAsia" w:ascii="TimesNewRoman" w:hAnsi="TimesNewRoman" w:eastAsia="仿宋_GB2312" w:cs="TimesNewRoman"/>
          <w:sz w:val="32"/>
          <w:szCs w:val="32"/>
        </w:rPr>
        <w:t>2025年度部门预算仅包括</w:t>
      </w:r>
      <w:r>
        <w:rPr>
          <w:rFonts w:hint="eastAsia" w:ascii="TimesNewRoman" w:hAnsi="TimesNewRoman" w:eastAsia="仿宋_GB2312" w:cs="TimesNewRoman"/>
          <w:sz w:val="32"/>
          <w:szCs w:val="32"/>
          <w:lang w:eastAsia="zh-CN"/>
        </w:rPr>
        <w:t>馆</w:t>
      </w:r>
      <w:r>
        <w:rPr>
          <w:rFonts w:hint="eastAsia" w:ascii="TimesNewRoman" w:hAnsi="TimesNewRoman" w:eastAsia="仿宋_GB2312" w:cs="TimesNewRoman"/>
          <w:sz w:val="32"/>
          <w:szCs w:val="32"/>
        </w:rPr>
        <w:t>本级预算，无其他下属单位预算。</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三、2025年度主要工作任务</w:t>
      </w:r>
    </w:p>
    <w:p>
      <w:pPr>
        <w:keepNext w:val="0"/>
        <w:keepLines w:val="0"/>
        <w:pageBreakBefore w:val="0"/>
        <w:widowControl/>
        <w:kinsoku/>
        <w:overflowPunct/>
        <w:topLinePunct w:val="0"/>
        <w:autoSpaceDE/>
        <w:autoSpaceDN/>
        <w:bidi w:val="0"/>
        <w:adjustRightInd w:val="0"/>
        <w:snapToGrid w:val="0"/>
        <w:spacing w:before="0" w:beforeAutospacing="0" w:after="0" w:afterAutospacing="0" w:line="600" w:lineRule="exact"/>
        <w:ind w:firstLine="627" w:firstLineChars="196"/>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（一）完成文明城市创建工作任务。</w:t>
      </w:r>
    </w:p>
    <w:p>
      <w:pPr>
        <w:keepNext w:val="0"/>
        <w:keepLines w:val="0"/>
        <w:pageBreakBefore w:val="0"/>
        <w:widowControl/>
        <w:kinsoku/>
        <w:overflowPunct/>
        <w:topLinePunct w:val="0"/>
        <w:autoSpaceDE/>
        <w:autoSpaceDN/>
        <w:bidi w:val="0"/>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（二）加强建设工程竣工档案的联合验收工作。</w:t>
      </w:r>
    </w:p>
    <w:p>
      <w:pPr>
        <w:keepNext w:val="0"/>
        <w:keepLines w:val="0"/>
        <w:pageBreakBefore w:val="0"/>
        <w:widowControl/>
        <w:kinsoku/>
        <w:overflowPunct/>
        <w:topLinePunct w:val="0"/>
        <w:autoSpaceDE/>
        <w:autoSpaceDN/>
        <w:bidi w:val="0"/>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（三）提高城建档案调阅利用的服务水平，做好城建档案保管维护工作。</w:t>
      </w:r>
    </w:p>
    <w:p>
      <w:pPr>
        <w:keepNext w:val="0"/>
        <w:keepLines w:val="0"/>
        <w:pageBreakBefore w:val="0"/>
        <w:widowControl/>
        <w:kinsoku/>
        <w:overflowPunct/>
        <w:topLinePunct w:val="0"/>
        <w:autoSpaceDE/>
        <w:autoSpaceDN/>
        <w:bidi w:val="0"/>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（四）城建档案异地备份工作。</w:t>
      </w:r>
    </w:p>
    <w:p>
      <w:pPr>
        <w:keepNext w:val="0"/>
        <w:keepLines w:val="0"/>
        <w:pageBreakBefore w:val="0"/>
        <w:widowControl/>
        <w:kinsoku/>
        <w:overflowPunct/>
        <w:topLinePunct w:val="0"/>
        <w:autoSpaceDE/>
        <w:autoSpaceDN/>
        <w:bidi w:val="0"/>
        <w:adjustRightInd w:val="0"/>
        <w:snapToGrid w:val="0"/>
        <w:spacing w:before="0" w:beforeAutospacing="0" w:after="0" w:afterAutospacing="0" w:line="600" w:lineRule="exact"/>
        <w:ind w:firstLine="640" w:firstLineChars="200"/>
        <w:jc w:val="both"/>
        <w:rPr>
          <w:rFonts w:hint="eastAsia" w:ascii="仿宋_GB2312" w:hAnsi="仿宋_GB2312" w:eastAsia="仿宋_GB2312" w:cs="仿宋_GB2312"/>
          <w:bCs/>
          <w:kern w:val="0"/>
          <w:sz w:val="32"/>
          <w:szCs w:val="32"/>
          <w:lang w:val="en-US" w:eastAsia="zh-CN" w:bidi="ar-SA"/>
        </w:rPr>
      </w:pPr>
      <w:r>
        <w:rPr>
          <w:rFonts w:hint="eastAsia" w:ascii="仿宋_GB2312" w:hAnsi="仿宋_GB2312" w:eastAsia="仿宋_GB2312" w:cs="仿宋_GB2312"/>
          <w:bCs/>
          <w:kern w:val="0"/>
          <w:sz w:val="32"/>
          <w:szCs w:val="32"/>
          <w:lang w:val="en-US" w:eastAsia="zh-CN" w:bidi="ar-SA"/>
        </w:rPr>
        <w:t>（五）加强地下管线工程档案管理工作。</w:t>
      </w:r>
    </w:p>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2025年单位预算表</w:t>
      </w:r>
    </w:p>
    <w:p>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2025年单位预算情况说明</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一、关于2025年收支总表的说明</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城市建设档案馆</w:t>
      </w:r>
      <w:r>
        <w:rPr>
          <w:rFonts w:hint="eastAsia" w:ascii="TimesNewRoman" w:hAnsi="TimesNewRoman" w:eastAsia="仿宋_GB2312" w:cs="TimesNewRoman"/>
          <w:sz w:val="32"/>
          <w:szCs w:val="32"/>
        </w:rPr>
        <w:t>所有收入和支出均纳入单位预算管理。淮北市</w:t>
      </w:r>
      <w:r>
        <w:rPr>
          <w:rFonts w:hint="eastAsia" w:ascii="TimesNewRoman" w:hAnsi="TimesNewRoman" w:eastAsia="仿宋_GB2312" w:cs="TimesNewRoman"/>
          <w:sz w:val="32"/>
          <w:szCs w:val="32"/>
          <w:lang w:eastAsia="zh-CN"/>
        </w:rPr>
        <w:t>城市建设档案馆</w:t>
      </w:r>
      <w:r>
        <w:rPr>
          <w:rFonts w:hint="eastAsia" w:ascii="TimesNewRoman" w:hAnsi="TimesNewRoman" w:eastAsia="仿宋_GB2312" w:cs="TimesNewRoman"/>
          <w:sz w:val="32"/>
          <w:szCs w:val="32"/>
        </w:rPr>
        <w:t>2025年收支总预算</w:t>
      </w:r>
      <w:r>
        <w:rPr>
          <w:rFonts w:hint="eastAsia" w:ascii="TimesNewRoman" w:hAnsi="TimesNewRoman" w:eastAsia="仿宋_GB2312" w:cs="TimesNewRoman"/>
          <w:sz w:val="32"/>
          <w:szCs w:val="32"/>
          <w:lang w:val="en-US" w:eastAsia="zh-CN"/>
        </w:rPr>
        <w:t>213.93</w:t>
      </w:r>
      <w:r>
        <w:rPr>
          <w:rFonts w:hint="eastAsia" w:ascii="TimesNewRoman" w:hAnsi="TimesNewRoman" w:eastAsia="仿宋_GB2312" w:cs="TimesNewRoman"/>
          <w:sz w:val="32"/>
          <w:szCs w:val="32"/>
        </w:rPr>
        <w:t>万元，收入全部是一般公共预算拨款收入</w:t>
      </w:r>
      <w:r>
        <w:rPr>
          <w:rFonts w:hint="eastAsia" w:ascii="TimesNewRoman" w:hAnsi="TimesNewRoman" w:eastAsia="仿宋_GB2312" w:cs="TimesNewRoman"/>
          <w:sz w:val="32"/>
          <w:szCs w:val="32"/>
          <w:lang w:val="en-US" w:eastAsia="zh-CN"/>
        </w:rPr>
        <w:t>213.93</w:t>
      </w:r>
      <w:r>
        <w:rPr>
          <w:rFonts w:hint="eastAsia" w:ascii="TimesNewRoman" w:hAnsi="TimesNewRoman" w:eastAsia="仿宋_GB2312" w:cs="TimesNewRoman"/>
          <w:sz w:val="32"/>
          <w:szCs w:val="32"/>
        </w:rPr>
        <w:t>万元，支出包括：社会保障和就业支出</w:t>
      </w:r>
      <w:r>
        <w:rPr>
          <w:rFonts w:hint="eastAsia" w:ascii="TimesNewRoman" w:hAnsi="TimesNewRoman" w:eastAsia="仿宋_GB2312" w:cs="TimesNewRoman"/>
          <w:sz w:val="32"/>
          <w:szCs w:val="32"/>
          <w:lang w:eastAsia="zh-CN"/>
        </w:rPr>
        <w:t>、卫生健康支出、城乡社区支出、住房保障支出。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二、关于2025年收入总表的说明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城市建设档案馆</w:t>
      </w:r>
      <w:r>
        <w:rPr>
          <w:rFonts w:hint="eastAsia" w:ascii="TimesNewRoman" w:hAnsi="TimesNewRoman" w:eastAsia="仿宋_GB2312" w:cs="TimesNewRoman"/>
          <w:kern w:val="0"/>
          <w:sz w:val="32"/>
          <w:szCs w:val="32"/>
        </w:rPr>
        <w:t>2025年收入预算</w:t>
      </w:r>
      <w:r>
        <w:rPr>
          <w:rFonts w:hint="eastAsia" w:ascii="TimesNewRoman" w:hAnsi="TimesNewRoman" w:eastAsia="仿宋_GB2312" w:cs="TimesNewRoman"/>
          <w:sz w:val="32"/>
          <w:szCs w:val="32"/>
          <w:lang w:val="en-US" w:eastAsia="zh-CN"/>
        </w:rPr>
        <w:t>213.93</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sz w:val="32"/>
          <w:szCs w:val="32"/>
          <w:lang w:val="en-US" w:eastAsia="zh-CN"/>
        </w:rPr>
        <w:t>213.93</w:t>
      </w:r>
      <w:r>
        <w:rPr>
          <w:rFonts w:hint="eastAsia" w:ascii="TimesNewRoman" w:hAnsi="TimesNewRoman" w:eastAsia="仿宋_GB2312" w:cs="TimesNewRoman"/>
          <w:sz w:val="32"/>
          <w:szCs w:val="32"/>
        </w:rPr>
        <w:t>万元</w:t>
      </w:r>
      <w:r>
        <w:rPr>
          <w:rFonts w:hint="eastAsia" w:ascii="TimesNewRoman" w:hAnsi="TimesNewRoman" w:eastAsia="仿宋_GB2312" w:cs="TimesNewRoman"/>
          <w:kern w:val="0"/>
          <w:sz w:val="32"/>
          <w:szCs w:val="32"/>
        </w:rPr>
        <w:t>。</w:t>
      </w:r>
    </w:p>
    <w:p>
      <w:pPr>
        <w:widowControl w:val="0"/>
        <w:numPr>
          <w:ilvl w:val="0"/>
          <w:numId w:val="0"/>
        </w:numPr>
        <w:jc w:val="both"/>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lang w:eastAsia="zh-CN"/>
        </w:rPr>
        <w:t>　　</w:t>
      </w: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213.93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213.93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%，比2024年预算增加</w:t>
      </w:r>
      <w:r>
        <w:rPr>
          <w:rFonts w:hint="eastAsia" w:ascii="TimesNewRoman" w:hAnsi="TimesNewRoman" w:eastAsia="仿宋_GB2312" w:cs="TimesNewRoman"/>
          <w:kern w:val="0"/>
          <w:sz w:val="32"/>
          <w:szCs w:val="32"/>
          <w:lang w:val="en-US" w:eastAsia="zh-CN"/>
        </w:rPr>
        <w:t>22.45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11.72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我单位在职人员新增一人及在职员工的正常增资</w:t>
      </w:r>
      <w:r>
        <w:rPr>
          <w:rFonts w:hint="eastAsia" w:ascii="TimesNewRoman" w:hAnsi="TimesNewRoman" w:eastAsia="仿宋_GB2312" w:cs="TimesNewRoman"/>
          <w:kern w:val="0"/>
          <w:sz w:val="32"/>
          <w:szCs w:val="32"/>
        </w:rPr>
        <w:t>；</w:t>
      </w:r>
      <w:r>
        <w:rPr>
          <w:rFonts w:hint="eastAsia" w:ascii="TimesNewRoman" w:hAnsi="TimesNewRoman" w:eastAsia="仿宋_GB2312" w:cs="TimesNewRoman"/>
          <w:bCs/>
          <w:kern w:val="0"/>
          <w:sz w:val="32"/>
          <w:szCs w:val="32"/>
          <w:lang w:val="en-US" w:eastAsia="zh-CN" w:bidi="ar-SA"/>
        </w:rPr>
        <w:t>政府性基金预算拨款收入0万元，占0%，与2024年预算相比增加0万元，增长0%，原因主要是无政府性基金预算收入；财政专户管理资金收入0万元，占0%，与2024年预算相比增加0万元，增长0%，原因主要是无财政专户管理的非税收入。</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三、关于2025年支出总表的说明</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城市建设档案馆</w:t>
      </w:r>
      <w:r>
        <w:rPr>
          <w:rFonts w:hint="eastAsia" w:ascii="TimesNewRoman" w:hAnsi="TimesNewRoman" w:eastAsia="仿宋_GB2312" w:cs="TimesNewRoman"/>
          <w:kern w:val="0"/>
          <w:sz w:val="32"/>
          <w:szCs w:val="32"/>
        </w:rPr>
        <w:t>2025年支出预算</w:t>
      </w:r>
      <w:r>
        <w:rPr>
          <w:rFonts w:hint="eastAsia" w:ascii="TimesNewRoman" w:hAnsi="TimesNewRoman" w:eastAsia="仿宋_GB2312" w:cs="TimesNewRoman"/>
          <w:kern w:val="0"/>
          <w:sz w:val="32"/>
          <w:szCs w:val="32"/>
          <w:lang w:val="en-US" w:eastAsia="zh-CN"/>
        </w:rPr>
        <w:t>213.93</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22.45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11.72</w:t>
      </w:r>
      <w:r>
        <w:rPr>
          <w:rFonts w:hint="eastAsia" w:ascii="TimesNewRoman" w:hAnsi="TimesNewRoman" w:eastAsia="仿宋_GB2312" w:cs="TimesNewRoman"/>
          <w:kern w:val="0"/>
          <w:sz w:val="32"/>
          <w:szCs w:val="32"/>
        </w:rPr>
        <w:t>%，原因主要原因主要是</w:t>
      </w:r>
      <w:r>
        <w:rPr>
          <w:rFonts w:hint="eastAsia" w:ascii="仿宋_GB2312" w:hAnsi="仿宋" w:eastAsia="仿宋_GB2312"/>
          <w:sz w:val="32"/>
          <w:szCs w:val="32"/>
          <w:lang w:eastAsia="zh-CN"/>
        </w:rPr>
        <w:t>一般公共预算</w:t>
      </w:r>
      <w:r>
        <w:rPr>
          <w:rFonts w:hint="eastAsia" w:ascii="仿宋_GB2312" w:hAnsi="仿宋" w:eastAsia="仿宋_GB2312"/>
          <w:sz w:val="32"/>
          <w:szCs w:val="32"/>
          <w:lang w:val="en-US" w:eastAsia="zh-CN"/>
        </w:rPr>
        <w:t>增加</w:t>
      </w:r>
      <w:r>
        <w:rPr>
          <w:rFonts w:hint="eastAsia" w:ascii="TimesNewRoman" w:hAnsi="TimesNewRoman" w:eastAsia="仿宋_GB2312" w:cs="TimesNewRoman"/>
          <w:kern w:val="0"/>
          <w:sz w:val="32"/>
          <w:szCs w:val="32"/>
          <w:lang w:val="en-US" w:eastAsia="zh-CN"/>
        </w:rPr>
        <w:t>22.45</w:t>
      </w:r>
      <w:r>
        <w:rPr>
          <w:rFonts w:hint="eastAsia" w:ascii="仿宋_GB2312" w:hAnsi="仿宋" w:eastAsia="仿宋_GB2312"/>
          <w:sz w:val="32"/>
          <w:szCs w:val="32"/>
        </w:rPr>
        <w:t>万元</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171.93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80.37</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19.63</w:t>
      </w:r>
      <w:r>
        <w:rPr>
          <w:rFonts w:hint="eastAsia" w:ascii="TimesNewRoman" w:hAnsi="TimesNewRoman" w:eastAsia="仿宋_GB2312" w:cs="TimesNewRoman"/>
          <w:kern w:val="0"/>
          <w:sz w:val="32"/>
          <w:szCs w:val="32"/>
        </w:rPr>
        <w:t>%，主要用于主要用于</w:t>
      </w:r>
      <w:r>
        <w:rPr>
          <w:rFonts w:ascii="仿宋_GB2312" w:hAnsi="Calibri" w:eastAsia="仿宋_GB2312" w:cs="仿宋_GB2312"/>
          <w:sz w:val="32"/>
          <w:szCs w:val="32"/>
          <w:lang w:bidi="ar"/>
        </w:rPr>
        <w:t>完成特定行政任务和事业发展目标所发生的支出</w:t>
      </w:r>
      <w:r>
        <w:rPr>
          <w:rFonts w:hint="eastAsia" w:ascii="TimesNewRoman" w:hAnsi="TimesNewRoman" w:eastAsia="仿宋_GB2312" w:cs="TimesNewRoman"/>
          <w:kern w:val="0"/>
          <w:sz w:val="32"/>
          <w:szCs w:val="32"/>
        </w:rPr>
        <w:t>。</w:t>
      </w:r>
    </w:p>
    <w:p>
      <w:pPr>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四、关于2025年财政拨款收支总表的说明</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城市建设档案馆</w:t>
      </w:r>
      <w:r>
        <w:rPr>
          <w:rFonts w:hint="eastAsia" w:ascii="TimesNewRoman" w:hAnsi="TimesNewRoman" w:eastAsia="仿宋_GB2312" w:cs="TimesNewRoman"/>
          <w:kern w:val="0"/>
          <w:sz w:val="32"/>
          <w:szCs w:val="32"/>
        </w:rPr>
        <w:t>2025年财政拨款收支预算</w:t>
      </w:r>
      <w:r>
        <w:rPr>
          <w:rFonts w:hint="eastAsia" w:ascii="TimesNewRoman" w:hAnsi="TimesNewRoman" w:eastAsia="仿宋_GB2312" w:cs="TimesNewRoman"/>
          <w:kern w:val="0"/>
          <w:sz w:val="32"/>
          <w:szCs w:val="32"/>
          <w:lang w:val="en-US" w:eastAsia="zh-CN"/>
        </w:rPr>
        <w:t>213.93</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213.93</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213.93</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22.2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10.38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7.97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22.17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10.36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kern w:val="0"/>
          <w:sz w:val="32"/>
          <w:szCs w:val="32"/>
          <w:lang w:val="en-US" w:eastAsia="zh-CN"/>
        </w:rPr>
        <w:t>161.59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75.53</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五、关于2025年一般公共预算支出表的说明</w:t>
      </w:r>
    </w:p>
    <w:p>
      <w:pPr>
        <w:pStyle w:val="5"/>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城市建设档案馆</w:t>
      </w:r>
      <w:r>
        <w:rPr>
          <w:rFonts w:hint="eastAsia" w:ascii="TimesNewRoman" w:hAnsi="TimesNewRoman" w:eastAsia="仿宋_GB2312" w:cs="TimesNewRoman"/>
          <w:kern w:val="0"/>
          <w:sz w:val="32"/>
          <w:szCs w:val="32"/>
        </w:rPr>
        <w:t>2025年一般公共预算支出</w:t>
      </w:r>
      <w:r>
        <w:rPr>
          <w:rFonts w:hint="eastAsia" w:ascii="TimesNewRoman" w:hAnsi="TimesNewRoman" w:eastAsia="仿宋_GB2312" w:cs="TimesNewRoman"/>
          <w:kern w:val="0"/>
          <w:sz w:val="32"/>
          <w:szCs w:val="32"/>
          <w:lang w:val="en-US" w:eastAsia="zh-CN"/>
        </w:rPr>
        <w:t>213.93</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22.45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11.72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我单位在职人员新增一人及在职员工的正常增资。</w:t>
      </w:r>
      <w:bookmarkStart w:id="0" w:name="_GoBack"/>
      <w:bookmarkEnd w:id="0"/>
    </w:p>
    <w:p>
      <w:pPr>
        <w:pStyle w:val="5"/>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22.2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10.38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7.97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3.73</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22.17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10.36</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kern w:val="0"/>
          <w:sz w:val="32"/>
          <w:szCs w:val="32"/>
          <w:lang w:val="en-US" w:eastAsia="zh-CN"/>
        </w:rPr>
        <w:t>161.59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75.53</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1、社会保障和就业支出（类）行政事业单位养老支出（款）机关事业单位基本养老保险缴费支出（项）202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14.50</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增加2.6</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lang w:val="en-US" w:eastAsia="zh-CN"/>
        </w:rPr>
        <w:t>增长21.85</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val="en-US" w:eastAsia="zh-CN"/>
        </w:rPr>
        <w:t>增加</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color w:val="auto"/>
          <w:kern w:val="0"/>
          <w:sz w:val="32"/>
          <w:szCs w:val="32"/>
          <w:lang w:eastAsia="zh-CN"/>
        </w:rPr>
        <w:t>离退休人员</w:t>
      </w:r>
      <w:r>
        <w:rPr>
          <w:rFonts w:hint="eastAsia" w:ascii="TimesNewRoman" w:hAnsi="TimesNewRoman" w:eastAsia="仿宋_GB2312" w:cs="TimesNewRoman"/>
          <w:color w:val="auto"/>
          <w:kern w:val="0"/>
          <w:sz w:val="32"/>
          <w:szCs w:val="32"/>
          <w:lang w:val="en-US" w:eastAsia="zh-CN"/>
        </w:rPr>
        <w:t>养老保险增加，</w:t>
      </w:r>
      <w:r>
        <w:rPr>
          <w:rFonts w:hint="eastAsia" w:ascii="TimesNewRoman" w:hAnsi="TimesNewRoman" w:eastAsia="仿宋_GB2312" w:cs="TimesNewRoman"/>
          <w:kern w:val="0"/>
          <w:sz w:val="32"/>
          <w:szCs w:val="32"/>
          <w:lang w:eastAsia="zh-CN"/>
        </w:rPr>
        <w:t>退休支出相应增加</w:t>
      </w:r>
      <w:r>
        <w:rPr>
          <w:rFonts w:hint="eastAsia" w:ascii="TimesNewRoman" w:hAnsi="TimesNewRoman" w:eastAsia="仿宋_GB2312" w:cs="TimesNewRoman"/>
          <w:color w:val="auto"/>
          <w:kern w:val="0"/>
          <w:sz w:val="32"/>
          <w:szCs w:val="32"/>
        </w:rPr>
        <w:t>。</w:t>
      </w:r>
    </w:p>
    <w:p>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lang w:val="en-US" w:eastAsia="zh-CN"/>
        </w:rPr>
        <w:t>2</w:t>
      </w:r>
      <w:r>
        <w:rPr>
          <w:rFonts w:hint="eastAsia" w:ascii="TimesNewRoman" w:hAnsi="TimesNewRoman" w:eastAsia="仿宋_GB2312" w:cs="TimesNewRoman"/>
          <w:color w:val="auto"/>
          <w:kern w:val="0"/>
          <w:sz w:val="32"/>
          <w:szCs w:val="32"/>
          <w:lang w:eastAsia="zh-CN"/>
        </w:rPr>
        <w:t>、</w:t>
      </w:r>
      <w:r>
        <w:rPr>
          <w:rFonts w:hint="eastAsia" w:ascii="TimesNewRoman" w:hAnsi="TimesNewRoman" w:eastAsia="仿宋_GB2312" w:cs="TimesNewRoman"/>
          <w:color w:val="auto"/>
          <w:kern w:val="0"/>
          <w:sz w:val="32"/>
          <w:szCs w:val="32"/>
        </w:rPr>
        <w:t>社会保障和就业支出（类）其他社会保障和就业支出（款）其他社会保障和就业支出（项）202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7.71</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增加1.38</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val="en-US" w:eastAsia="zh-CN"/>
        </w:rPr>
        <w:t>增长21.80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val="en-US" w:eastAsia="zh-CN"/>
        </w:rPr>
        <w:t>增加</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kern w:val="0"/>
          <w:sz w:val="32"/>
          <w:szCs w:val="32"/>
          <w:lang w:val="en-US" w:eastAsia="zh-CN"/>
        </w:rPr>
        <w:t>在职人员新增一人及</w:t>
      </w:r>
      <w:r>
        <w:rPr>
          <w:rFonts w:hint="eastAsia" w:ascii="TimesNewRoman" w:hAnsi="TimesNewRoman" w:eastAsia="仿宋_GB2312" w:cs="TimesNewRoman"/>
          <w:color w:val="auto"/>
          <w:kern w:val="0"/>
          <w:sz w:val="32"/>
          <w:szCs w:val="32"/>
          <w:lang w:val="en-US" w:eastAsia="zh-CN"/>
        </w:rPr>
        <w:t>人员</w:t>
      </w:r>
      <w:r>
        <w:rPr>
          <w:rFonts w:hint="eastAsia" w:ascii="TimesNewRoman" w:hAnsi="TimesNewRoman" w:eastAsia="仿宋_GB2312" w:cs="TimesNewRoman"/>
          <w:color w:val="auto"/>
          <w:kern w:val="0"/>
          <w:sz w:val="32"/>
          <w:szCs w:val="32"/>
          <w:lang w:eastAsia="zh-CN"/>
        </w:rPr>
        <w:t>基数调整</w:t>
      </w:r>
      <w:r>
        <w:rPr>
          <w:rFonts w:hint="eastAsia" w:ascii="TimesNewRoman" w:hAnsi="TimesNewRoman" w:eastAsia="仿宋_GB2312" w:cs="TimesNewRoman"/>
          <w:color w:val="auto"/>
          <w:kern w:val="0"/>
          <w:sz w:val="32"/>
          <w:szCs w:val="32"/>
        </w:rPr>
        <w:t>等。</w:t>
      </w:r>
    </w:p>
    <w:p>
      <w:pPr>
        <w:ind w:firstLine="640" w:firstLineChars="200"/>
        <w:rPr>
          <w:rFonts w:hint="default"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color w:val="auto"/>
          <w:kern w:val="0"/>
          <w:sz w:val="32"/>
          <w:szCs w:val="32"/>
          <w:lang w:val="en-US" w:eastAsia="zh-CN"/>
        </w:rPr>
        <w:t>3、</w:t>
      </w:r>
      <w:r>
        <w:rPr>
          <w:rFonts w:hint="eastAsia" w:ascii="TimesNewRoman" w:hAnsi="TimesNewRoman" w:eastAsia="仿宋_GB2312" w:cs="TimesNewRoman"/>
          <w:color w:val="auto"/>
          <w:kern w:val="0"/>
          <w:sz w:val="32"/>
          <w:szCs w:val="32"/>
        </w:rPr>
        <w:t>卫生健康支出（类）行政事业单位医疗（款）事业单位医疗（项）202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4.72</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增加0.18</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val="en-US" w:eastAsia="zh-CN"/>
        </w:rPr>
        <w:t>增长3.96</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val="en-US" w:eastAsia="zh-CN"/>
        </w:rPr>
        <w:t>增加</w:t>
      </w:r>
      <w:r>
        <w:rPr>
          <w:rFonts w:hint="eastAsia" w:ascii="TimesNewRoman" w:hAnsi="TimesNewRoman" w:eastAsia="仿宋_GB2312" w:cs="TimesNewRoman"/>
          <w:color w:val="auto"/>
          <w:kern w:val="0"/>
          <w:sz w:val="32"/>
          <w:szCs w:val="32"/>
        </w:rPr>
        <w:t>原因</w:t>
      </w:r>
      <w:r>
        <w:rPr>
          <w:rFonts w:hint="eastAsia" w:ascii="TimesNewRoman" w:hAnsi="TimesNewRoman" w:eastAsia="仿宋_GB2312" w:cs="TimesNewRoman"/>
          <w:color w:val="auto"/>
          <w:kern w:val="0"/>
          <w:sz w:val="32"/>
          <w:szCs w:val="32"/>
          <w:lang w:val="en-US" w:eastAsia="zh-CN"/>
        </w:rPr>
        <w:t>是</w:t>
      </w:r>
      <w:r>
        <w:rPr>
          <w:rFonts w:hint="eastAsia" w:ascii="TimesNewRoman" w:hAnsi="TimesNewRoman" w:eastAsia="仿宋_GB2312" w:cs="TimesNewRoman"/>
          <w:color w:val="auto"/>
          <w:kern w:val="0"/>
          <w:sz w:val="32"/>
          <w:szCs w:val="32"/>
        </w:rPr>
        <w:t>职工基本医疗保险</w:t>
      </w:r>
      <w:r>
        <w:rPr>
          <w:rFonts w:hint="eastAsia" w:ascii="TimesNewRoman" w:hAnsi="TimesNewRoman" w:eastAsia="仿宋_GB2312" w:cs="TimesNewRoman"/>
          <w:color w:val="auto"/>
          <w:kern w:val="0"/>
          <w:sz w:val="32"/>
          <w:szCs w:val="32"/>
          <w:lang w:eastAsia="zh-CN"/>
        </w:rPr>
        <w:t>缴费</w:t>
      </w:r>
      <w:r>
        <w:rPr>
          <w:rFonts w:hint="eastAsia" w:ascii="TimesNewRoman" w:hAnsi="TimesNewRoman" w:eastAsia="仿宋_GB2312" w:cs="TimesNewRoman"/>
          <w:color w:val="auto"/>
          <w:kern w:val="0"/>
          <w:sz w:val="32"/>
          <w:szCs w:val="32"/>
          <w:lang w:val="en-US" w:eastAsia="zh-CN"/>
        </w:rPr>
        <w:t>调整及</w:t>
      </w:r>
      <w:r>
        <w:rPr>
          <w:rFonts w:hint="eastAsia" w:ascii="TimesNewRoman" w:hAnsi="TimesNewRoman" w:eastAsia="仿宋_GB2312" w:cs="TimesNewRoman"/>
          <w:kern w:val="0"/>
          <w:sz w:val="32"/>
          <w:szCs w:val="32"/>
          <w:lang w:val="en-US" w:eastAsia="zh-CN"/>
        </w:rPr>
        <w:t>在职人员新增一人</w:t>
      </w:r>
      <w:r>
        <w:rPr>
          <w:rFonts w:hint="eastAsia" w:ascii="TimesNewRoman" w:hAnsi="TimesNewRoman" w:eastAsia="仿宋_GB2312" w:cs="TimesNewRoman"/>
          <w:color w:val="auto"/>
          <w:kern w:val="0"/>
          <w:sz w:val="32"/>
          <w:szCs w:val="32"/>
          <w:lang w:val="en-US" w:eastAsia="zh-CN"/>
        </w:rPr>
        <w:t>。</w:t>
      </w:r>
    </w:p>
    <w:p>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卫生健康支出（类）行政事业单位医疗（款）公务员医疗补助（项）202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3.25</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eastAsia="zh-CN"/>
        </w:rPr>
        <w:t>增加</w:t>
      </w:r>
      <w:r>
        <w:rPr>
          <w:rFonts w:hint="eastAsia" w:ascii="TimesNewRoman" w:hAnsi="TimesNewRoman" w:eastAsia="仿宋_GB2312" w:cs="TimesNewRoman"/>
          <w:color w:val="auto"/>
          <w:kern w:val="0"/>
          <w:sz w:val="32"/>
          <w:szCs w:val="32"/>
          <w:lang w:val="en-US" w:eastAsia="zh-CN"/>
        </w:rPr>
        <w:t>0.37</w:t>
      </w:r>
      <w:r>
        <w:rPr>
          <w:rFonts w:hint="eastAsia" w:ascii="TimesNewRoman" w:hAnsi="TimesNewRoman" w:eastAsia="仿宋_GB2312" w:cs="TimesNewRoman"/>
          <w:color w:val="auto"/>
          <w:kern w:val="0"/>
          <w:sz w:val="32"/>
          <w:szCs w:val="32"/>
        </w:rPr>
        <w:t>万元，增长</w:t>
      </w:r>
      <w:r>
        <w:rPr>
          <w:rFonts w:hint="eastAsia" w:ascii="TimesNewRoman" w:hAnsi="TimesNewRoman" w:eastAsia="仿宋_GB2312" w:cs="TimesNewRoman"/>
          <w:color w:val="auto"/>
          <w:kern w:val="0"/>
          <w:sz w:val="32"/>
          <w:szCs w:val="32"/>
          <w:lang w:val="en-US" w:eastAsia="zh-CN"/>
        </w:rPr>
        <w:t>12.85</w:t>
      </w:r>
      <w:r>
        <w:rPr>
          <w:rFonts w:hint="eastAsia" w:ascii="TimesNewRoman" w:hAnsi="TimesNewRoman" w:eastAsia="仿宋_GB2312" w:cs="TimesNewRoman"/>
          <w:color w:val="auto"/>
          <w:kern w:val="0"/>
          <w:sz w:val="32"/>
          <w:szCs w:val="32"/>
        </w:rPr>
        <w:t>%，增长原因主要是</w:t>
      </w:r>
      <w:r>
        <w:rPr>
          <w:rFonts w:hint="eastAsia" w:ascii="TimesNewRoman" w:hAnsi="TimesNewRoman" w:eastAsia="仿宋_GB2312" w:cs="TimesNewRoman"/>
          <w:color w:val="auto"/>
          <w:kern w:val="0"/>
          <w:sz w:val="32"/>
          <w:szCs w:val="32"/>
          <w:lang w:eastAsia="zh-CN"/>
        </w:rPr>
        <w:t>缴费</w:t>
      </w:r>
      <w:r>
        <w:rPr>
          <w:rFonts w:hint="eastAsia" w:ascii="TimesNewRoman" w:hAnsi="TimesNewRoman" w:eastAsia="仿宋_GB2312" w:cs="TimesNewRoman"/>
          <w:color w:val="auto"/>
          <w:kern w:val="0"/>
          <w:sz w:val="32"/>
          <w:szCs w:val="32"/>
          <w:lang w:val="en-US" w:eastAsia="zh-CN"/>
        </w:rPr>
        <w:t>基数调整及</w:t>
      </w:r>
      <w:r>
        <w:rPr>
          <w:rFonts w:hint="eastAsia" w:ascii="TimesNewRoman" w:hAnsi="TimesNewRoman" w:eastAsia="仿宋_GB2312" w:cs="TimesNewRoman"/>
          <w:kern w:val="0"/>
          <w:sz w:val="32"/>
          <w:szCs w:val="32"/>
          <w:lang w:val="en-US" w:eastAsia="zh-CN"/>
        </w:rPr>
        <w:t>在职人员新增一人。</w:t>
      </w:r>
    </w:p>
    <w:p>
      <w:pPr>
        <w:ind w:firstLine="640" w:firstLineChars="200"/>
        <w:rPr>
          <w:rFonts w:hint="eastAsia" w:ascii="TimesNewRoman" w:hAnsi="TimesNewRoman" w:eastAsia="仿宋_GB2312" w:cs="TimesNewRoman"/>
          <w:color w:val="auto"/>
          <w:kern w:val="0"/>
          <w:sz w:val="32"/>
          <w:szCs w:val="32"/>
          <w:lang w:eastAsia="zh-CN"/>
        </w:rPr>
      </w:pP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城乡社区支出（类）城乡社区管理事务（款）其他城乡社区管理事务支出（项）202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161.59</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增加15.33</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val="en-US" w:eastAsia="zh-CN"/>
        </w:rPr>
        <w:t>增长10.48</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val="en-US" w:eastAsia="zh-CN"/>
        </w:rPr>
        <w:t>增加</w:t>
      </w:r>
      <w:r>
        <w:rPr>
          <w:rFonts w:hint="eastAsia" w:ascii="TimesNewRoman" w:hAnsi="TimesNewRoman" w:eastAsia="仿宋_GB2312" w:cs="TimesNewRoman"/>
          <w:color w:val="auto"/>
          <w:kern w:val="0"/>
          <w:sz w:val="32"/>
          <w:szCs w:val="32"/>
        </w:rPr>
        <w:t>原因</w:t>
      </w:r>
      <w:r>
        <w:rPr>
          <w:rFonts w:hint="eastAsia" w:ascii="TimesNewRoman" w:hAnsi="TimesNewRoman" w:eastAsia="仿宋_GB2312" w:cs="TimesNewRoman"/>
          <w:color w:val="auto"/>
          <w:kern w:val="0"/>
          <w:sz w:val="32"/>
          <w:szCs w:val="32"/>
          <w:lang w:eastAsia="zh-CN"/>
        </w:rPr>
        <w:t>主要</w:t>
      </w:r>
      <w:r>
        <w:rPr>
          <w:rFonts w:hint="eastAsia" w:ascii="TimesNewRoman" w:hAnsi="TimesNewRoman" w:eastAsia="仿宋_GB2312" w:cs="TimesNewRoman"/>
          <w:color w:val="auto"/>
          <w:kern w:val="0"/>
          <w:sz w:val="32"/>
          <w:szCs w:val="32"/>
          <w:lang w:val="en-US" w:eastAsia="zh-CN"/>
        </w:rPr>
        <w:t>是</w:t>
      </w:r>
      <w:r>
        <w:rPr>
          <w:rFonts w:hint="eastAsia" w:ascii="TimesNewRoman" w:hAnsi="TimesNewRoman" w:eastAsia="仿宋_GB2312" w:cs="TimesNewRoman"/>
          <w:kern w:val="0"/>
          <w:sz w:val="32"/>
          <w:szCs w:val="32"/>
          <w:lang w:val="en-US" w:eastAsia="zh-CN"/>
        </w:rPr>
        <w:t>在职人员新增一人及正常增资等</w:t>
      </w:r>
      <w:r>
        <w:rPr>
          <w:rFonts w:hint="eastAsia" w:ascii="TimesNewRoman" w:hAnsi="TimesNewRoman" w:eastAsia="仿宋_GB2312" w:cs="TimesNewRoman"/>
          <w:color w:val="auto"/>
          <w:kern w:val="0"/>
          <w:sz w:val="32"/>
          <w:szCs w:val="32"/>
          <w:lang w:eastAsia="zh-CN"/>
        </w:rPr>
        <w:t>。</w:t>
      </w:r>
    </w:p>
    <w:p>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lang w:val="en-US" w:eastAsia="zh-CN"/>
        </w:rPr>
        <w:t>6、</w:t>
      </w:r>
      <w:r>
        <w:rPr>
          <w:rFonts w:hint="eastAsia" w:ascii="TimesNewRoman" w:hAnsi="TimesNewRoman" w:eastAsia="仿宋_GB2312" w:cs="TimesNewRoman"/>
          <w:color w:val="auto"/>
          <w:kern w:val="0"/>
          <w:sz w:val="32"/>
          <w:szCs w:val="32"/>
        </w:rPr>
        <w:t>住房保障支出（类）住房改革支出（款）住房公积金（项）202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12.27</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增加1.6</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val="en-US" w:eastAsia="zh-CN"/>
        </w:rPr>
        <w:t>增长15.00</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val="en-US" w:eastAsia="zh-CN"/>
        </w:rPr>
        <w:t>增加</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kern w:val="0"/>
          <w:sz w:val="32"/>
          <w:szCs w:val="32"/>
          <w:lang w:val="en-US" w:eastAsia="zh-CN"/>
        </w:rPr>
        <w:t>在职人员新增一人及缴费基数调整</w:t>
      </w:r>
      <w:r>
        <w:rPr>
          <w:rFonts w:hint="eastAsia" w:ascii="TimesNewRoman" w:hAnsi="TimesNewRoman" w:eastAsia="仿宋_GB2312" w:cs="TimesNewRoman"/>
          <w:color w:val="auto"/>
          <w:kern w:val="0"/>
          <w:sz w:val="32"/>
          <w:szCs w:val="32"/>
        </w:rPr>
        <w:t>。</w:t>
      </w:r>
    </w:p>
    <w:p>
      <w:p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color w:val="auto"/>
          <w:kern w:val="0"/>
          <w:sz w:val="32"/>
          <w:szCs w:val="32"/>
          <w:lang w:val="en-US" w:eastAsia="zh-CN"/>
        </w:rPr>
        <w:t>7、</w:t>
      </w:r>
      <w:r>
        <w:rPr>
          <w:rFonts w:hint="eastAsia" w:ascii="TimesNewRoman" w:hAnsi="TimesNewRoman" w:eastAsia="仿宋_GB2312" w:cs="TimesNewRoman"/>
          <w:color w:val="auto"/>
          <w:kern w:val="0"/>
          <w:sz w:val="32"/>
          <w:szCs w:val="32"/>
        </w:rPr>
        <w:t>住房保障支出（类）住房改革支出（款）购房补贴（项）202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5.11</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eastAsia="zh-CN"/>
        </w:rPr>
        <w:t>增加</w:t>
      </w:r>
      <w:r>
        <w:rPr>
          <w:rFonts w:hint="eastAsia" w:ascii="TimesNewRoman" w:hAnsi="TimesNewRoman" w:eastAsia="仿宋_GB2312" w:cs="TimesNewRoman"/>
          <w:color w:val="auto"/>
          <w:kern w:val="0"/>
          <w:sz w:val="32"/>
          <w:szCs w:val="32"/>
          <w:lang w:val="en-US" w:eastAsia="zh-CN"/>
        </w:rPr>
        <w:t>0.67</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eastAsia="zh-CN"/>
        </w:rPr>
        <w:t>增长</w:t>
      </w:r>
      <w:r>
        <w:rPr>
          <w:rFonts w:hint="eastAsia" w:ascii="TimesNewRoman" w:hAnsi="TimesNewRoman" w:eastAsia="仿宋_GB2312" w:cs="TimesNewRoman"/>
          <w:color w:val="auto"/>
          <w:kern w:val="0"/>
          <w:sz w:val="32"/>
          <w:szCs w:val="32"/>
          <w:lang w:val="en-US" w:eastAsia="zh-CN"/>
        </w:rPr>
        <w:t>15.09</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增长</w:t>
      </w:r>
      <w:r>
        <w:rPr>
          <w:rFonts w:hint="eastAsia" w:ascii="TimesNewRoman" w:hAnsi="TimesNewRoman" w:eastAsia="仿宋_GB2312" w:cs="TimesNewRoman"/>
          <w:color w:val="auto"/>
          <w:kern w:val="0"/>
          <w:sz w:val="32"/>
          <w:szCs w:val="32"/>
        </w:rPr>
        <w:t>原因主要是基数调整</w:t>
      </w:r>
      <w:r>
        <w:rPr>
          <w:rFonts w:hint="eastAsia" w:ascii="TimesNewRoman" w:hAnsi="TimesNewRoman" w:eastAsia="仿宋_GB2312" w:cs="TimesNewRoman"/>
          <w:color w:val="auto"/>
          <w:kern w:val="0"/>
          <w:sz w:val="32"/>
          <w:szCs w:val="32"/>
          <w:lang w:val="en-US" w:eastAsia="zh-CN"/>
        </w:rPr>
        <w:t>及</w:t>
      </w:r>
      <w:r>
        <w:rPr>
          <w:rFonts w:hint="eastAsia" w:ascii="TimesNewRoman" w:hAnsi="TimesNewRoman" w:eastAsia="仿宋_GB2312" w:cs="TimesNewRoman"/>
          <w:kern w:val="0"/>
          <w:sz w:val="32"/>
          <w:szCs w:val="32"/>
          <w:lang w:val="en-US" w:eastAsia="zh-CN"/>
        </w:rPr>
        <w:t>在职人员新增一人</w:t>
      </w:r>
      <w:r>
        <w:rPr>
          <w:rFonts w:hint="eastAsia" w:ascii="TimesNewRoman" w:hAnsi="TimesNewRoman" w:eastAsia="仿宋_GB2312" w:cs="TimesNewRoman"/>
          <w:color w:val="auto"/>
          <w:kern w:val="0"/>
          <w:sz w:val="32"/>
          <w:szCs w:val="32"/>
        </w:rPr>
        <w:t>等</w:t>
      </w:r>
      <w:r>
        <w:rPr>
          <w:rFonts w:hint="eastAsia" w:ascii="TimesNewRoman" w:hAnsi="TimesNewRoman" w:eastAsia="仿宋_GB2312" w:cs="TimesNewRoman"/>
          <w:color w:val="auto"/>
          <w:kern w:val="0"/>
          <w:sz w:val="32"/>
          <w:szCs w:val="32"/>
          <w:lang w:val="en-US" w:eastAsia="zh-CN"/>
        </w:rPr>
        <w:t>。</w:t>
      </w:r>
    </w:p>
    <w:p>
      <w:pPr>
        <w:ind w:firstLine="640" w:firstLineChars="200"/>
        <w:rPr>
          <w:rFonts w:hint="eastAsia" w:ascii="TimesNewRoman" w:hAnsi="TimesNewRoman" w:eastAsia="仿宋_GB2312" w:cs="TimesNewRoman"/>
          <w:color w:val="auto"/>
          <w:kern w:val="0"/>
          <w:sz w:val="32"/>
          <w:szCs w:val="32"/>
          <w:lang w:val="en-US" w:eastAsia="zh-CN"/>
        </w:rPr>
      </w:pPr>
      <w:r>
        <w:rPr>
          <w:rFonts w:hint="eastAsia" w:ascii="TimesNewRoman" w:hAnsi="TimesNewRoman" w:eastAsia="仿宋_GB2312" w:cs="TimesNewRoman"/>
          <w:color w:val="auto"/>
          <w:kern w:val="0"/>
          <w:sz w:val="32"/>
          <w:szCs w:val="32"/>
          <w:lang w:val="en-US" w:eastAsia="zh-CN"/>
        </w:rPr>
        <w:t>8、</w:t>
      </w:r>
      <w:r>
        <w:rPr>
          <w:rFonts w:hint="eastAsia" w:ascii="TimesNewRoman" w:hAnsi="TimesNewRoman" w:eastAsia="仿宋_GB2312" w:cs="TimesNewRoman"/>
          <w:color w:val="auto"/>
          <w:kern w:val="0"/>
          <w:sz w:val="32"/>
          <w:szCs w:val="32"/>
        </w:rPr>
        <w:t>住房保障支出（类）住房改革支出（款）提租补贴（项）202</w:t>
      </w:r>
      <w:r>
        <w:rPr>
          <w:rFonts w:hint="eastAsia" w:ascii="TimesNewRoman" w:hAnsi="TimesNewRoman" w:eastAsia="仿宋_GB2312" w:cs="TimesNewRoman"/>
          <w:color w:val="auto"/>
          <w:kern w:val="0"/>
          <w:sz w:val="32"/>
          <w:szCs w:val="32"/>
          <w:lang w:val="en-US" w:eastAsia="zh-CN"/>
        </w:rPr>
        <w:t>5</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val="en-US" w:eastAsia="zh-CN"/>
        </w:rPr>
        <w:t>4.79</w:t>
      </w:r>
      <w:r>
        <w:rPr>
          <w:rFonts w:hint="eastAsia" w:ascii="TimesNewRoman" w:hAnsi="TimesNewRoman" w:eastAsia="仿宋_GB2312" w:cs="TimesNewRoman"/>
          <w:color w:val="auto"/>
          <w:kern w:val="0"/>
          <w:sz w:val="32"/>
          <w:szCs w:val="32"/>
        </w:rPr>
        <w:t>万元，比202</w:t>
      </w:r>
      <w:r>
        <w:rPr>
          <w:rFonts w:hint="eastAsia" w:ascii="TimesNewRoman" w:hAnsi="TimesNewRoman" w:eastAsia="仿宋_GB2312" w:cs="TimesNewRoman"/>
          <w:color w:val="auto"/>
          <w:kern w:val="0"/>
          <w:sz w:val="32"/>
          <w:szCs w:val="32"/>
          <w:lang w:val="en-US" w:eastAsia="zh-CN"/>
        </w:rPr>
        <w:t>4</w:t>
      </w:r>
      <w:r>
        <w:rPr>
          <w:rFonts w:hint="eastAsia" w:ascii="TimesNewRoman" w:hAnsi="TimesNewRoman" w:eastAsia="仿宋_GB2312" w:cs="TimesNewRoman"/>
          <w:color w:val="auto"/>
          <w:kern w:val="0"/>
          <w:sz w:val="32"/>
          <w:szCs w:val="32"/>
        </w:rPr>
        <w:t>年预算</w:t>
      </w:r>
      <w:r>
        <w:rPr>
          <w:rFonts w:hint="eastAsia" w:ascii="TimesNewRoman" w:hAnsi="TimesNewRoman" w:eastAsia="仿宋_GB2312" w:cs="TimesNewRoman"/>
          <w:color w:val="auto"/>
          <w:kern w:val="0"/>
          <w:sz w:val="32"/>
          <w:szCs w:val="32"/>
          <w:lang w:eastAsia="zh-CN"/>
        </w:rPr>
        <w:t>增加</w:t>
      </w:r>
      <w:r>
        <w:rPr>
          <w:rFonts w:hint="eastAsia" w:ascii="TimesNewRoman" w:hAnsi="TimesNewRoman" w:eastAsia="仿宋_GB2312" w:cs="TimesNewRoman"/>
          <w:color w:val="auto"/>
          <w:kern w:val="0"/>
          <w:sz w:val="32"/>
          <w:szCs w:val="32"/>
          <w:lang w:val="en-US" w:eastAsia="zh-CN"/>
        </w:rPr>
        <w:t>4.45</w:t>
      </w:r>
      <w:r>
        <w:rPr>
          <w:rFonts w:hint="eastAsia" w:ascii="TimesNewRoman" w:hAnsi="TimesNewRoman" w:eastAsia="仿宋_GB2312" w:cs="TimesNewRoman"/>
          <w:color w:val="auto"/>
          <w:kern w:val="0"/>
          <w:sz w:val="32"/>
          <w:szCs w:val="32"/>
        </w:rPr>
        <w:t>万元，</w:t>
      </w:r>
      <w:r>
        <w:rPr>
          <w:rFonts w:hint="eastAsia" w:ascii="TimesNewRoman" w:hAnsi="TimesNewRoman" w:eastAsia="仿宋_GB2312" w:cs="TimesNewRoman"/>
          <w:color w:val="auto"/>
          <w:kern w:val="0"/>
          <w:sz w:val="32"/>
          <w:szCs w:val="32"/>
          <w:lang w:eastAsia="zh-CN"/>
        </w:rPr>
        <w:t>增长</w:t>
      </w:r>
      <w:r>
        <w:rPr>
          <w:rFonts w:hint="eastAsia" w:ascii="TimesNewRoman" w:hAnsi="TimesNewRoman" w:eastAsia="仿宋_GB2312" w:cs="TimesNewRoman"/>
          <w:color w:val="auto"/>
          <w:kern w:val="0"/>
          <w:sz w:val="32"/>
          <w:szCs w:val="32"/>
          <w:lang w:val="en-US" w:eastAsia="zh-CN"/>
        </w:rPr>
        <w:t>7.64</w:t>
      </w:r>
      <w:r>
        <w:rPr>
          <w:rFonts w:hint="eastAsia" w:ascii="TimesNewRoman" w:hAnsi="TimesNewRoman" w:eastAsia="仿宋_GB2312" w:cs="TimesNewRoman"/>
          <w:color w:val="auto"/>
          <w:kern w:val="0"/>
          <w:sz w:val="32"/>
          <w:szCs w:val="32"/>
        </w:rPr>
        <w:t>%</w:t>
      </w:r>
      <w:r>
        <w:rPr>
          <w:rFonts w:hint="eastAsia" w:ascii="TimesNewRoman" w:hAnsi="TimesNewRoman" w:eastAsia="仿宋_GB2312" w:cs="TimesNewRoman"/>
          <w:color w:val="auto"/>
          <w:kern w:val="0"/>
          <w:sz w:val="32"/>
          <w:szCs w:val="32"/>
          <w:lang w:eastAsia="zh-CN"/>
        </w:rPr>
        <w:t>，增长</w:t>
      </w:r>
      <w:r>
        <w:rPr>
          <w:rFonts w:hint="eastAsia" w:ascii="TimesNewRoman" w:hAnsi="TimesNewRoman" w:eastAsia="仿宋_GB2312" w:cs="TimesNewRoman"/>
          <w:color w:val="auto"/>
          <w:kern w:val="0"/>
          <w:sz w:val="32"/>
          <w:szCs w:val="32"/>
        </w:rPr>
        <w:t>原因主要是</w:t>
      </w:r>
      <w:r>
        <w:rPr>
          <w:rFonts w:hint="eastAsia" w:ascii="TimesNewRoman" w:hAnsi="TimesNewRoman" w:eastAsia="仿宋_GB2312" w:cs="TimesNewRoman"/>
          <w:kern w:val="0"/>
          <w:sz w:val="32"/>
          <w:szCs w:val="32"/>
          <w:lang w:val="en-US" w:eastAsia="zh-CN"/>
        </w:rPr>
        <w:t>在职人员新增一人</w:t>
      </w:r>
      <w:r>
        <w:rPr>
          <w:rFonts w:hint="eastAsia" w:ascii="TimesNewRoman" w:hAnsi="TimesNewRoman" w:eastAsia="仿宋_GB2312" w:cs="TimesNewRoman"/>
          <w:color w:val="auto"/>
          <w:kern w:val="0"/>
          <w:sz w:val="32"/>
          <w:szCs w:val="32"/>
          <w:lang w:val="en-US" w:eastAsia="zh-CN"/>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六、关于2025年一般公共预算基本支出表的说明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城市建设档案馆</w:t>
      </w:r>
      <w:r>
        <w:rPr>
          <w:rFonts w:hint="eastAsia" w:ascii="TimesNewRoman" w:hAnsi="TimesNewRoman" w:eastAsia="仿宋_GB2312" w:cs="TimesNewRoman"/>
          <w:kern w:val="0"/>
          <w:sz w:val="32"/>
          <w:szCs w:val="32"/>
        </w:rPr>
        <w:t>2025年一般公共预算基本支出</w:t>
      </w:r>
      <w:r>
        <w:rPr>
          <w:rFonts w:hint="eastAsia" w:ascii="TimesNewRoman" w:hAnsi="TimesNewRoman" w:eastAsia="仿宋_GB2312" w:cs="TimesNewRoman"/>
          <w:kern w:val="0"/>
          <w:sz w:val="32"/>
          <w:szCs w:val="32"/>
          <w:lang w:val="en-US" w:eastAsia="zh-CN"/>
        </w:rPr>
        <w:t>171.93</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161.13</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10.8</w:t>
      </w:r>
      <w:r>
        <w:rPr>
          <w:rFonts w:hint="eastAsia" w:ascii="TimesNewRoman" w:hAnsi="TimesNewRoman" w:eastAsia="仿宋_GB2312" w:cs="TimesNewRoman"/>
          <w:kern w:val="0"/>
          <w:sz w:val="32"/>
          <w:szCs w:val="32"/>
        </w:rPr>
        <w:t>万元。</w:t>
      </w:r>
    </w:p>
    <w:p>
      <w:pPr>
        <w:ind w:firstLine="642"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161.13</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主要包括:基本工资、津贴补贴、奖金、绩效工资、机关事业单位基本养老保险费、职业年金缴费、职工基本医疗保险缴费、公务员医疗补助缴费、其他社会保障缴费、住房公积金、</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w:t>
      </w:r>
      <w:r>
        <w:rPr>
          <w:rFonts w:hint="eastAsia" w:ascii="TimesNewRoman" w:hAnsi="TimesNewRoman" w:eastAsia="仿宋_GB2312" w:cs="TimesNewRoman"/>
          <w:kern w:val="0"/>
          <w:sz w:val="32"/>
          <w:szCs w:val="32"/>
          <w:lang w:eastAsia="zh-CN"/>
        </w:rPr>
        <w:t>其他商品服务支出</w:t>
      </w:r>
      <w:r>
        <w:rPr>
          <w:rFonts w:hint="eastAsia" w:ascii="TimesNewRoman" w:hAnsi="TimesNewRoman" w:eastAsia="仿宋_GB2312" w:cs="TimesNewRoman"/>
          <w:kern w:val="0"/>
          <w:sz w:val="32"/>
          <w:szCs w:val="32"/>
        </w:rPr>
        <w:t>退休费、医疗费补助、</w:t>
      </w:r>
      <w:r>
        <w:rPr>
          <w:rFonts w:hint="eastAsia" w:ascii="TimesNewRoman" w:hAnsi="TimesNewRoman" w:eastAsia="仿宋_GB2312" w:cs="TimesNewRoman"/>
          <w:kern w:val="0"/>
          <w:sz w:val="32"/>
          <w:szCs w:val="32"/>
          <w:lang w:val="en-US" w:eastAsia="zh-CN"/>
        </w:rPr>
        <w:t>奖励金</w:t>
      </w:r>
      <w:r>
        <w:rPr>
          <w:rFonts w:hint="eastAsia" w:ascii="TimesNewRoman" w:hAnsi="TimesNewRoman" w:eastAsia="仿宋_GB2312" w:cs="TimesNewRoman"/>
          <w:kern w:val="0"/>
          <w:sz w:val="32"/>
          <w:szCs w:val="32"/>
        </w:rPr>
        <w:t>、对其他个人和家庭的补助支出。</w:t>
      </w:r>
    </w:p>
    <w:p>
      <w:pPr>
        <w:numPr>
          <w:ilvl w:val="0"/>
          <w:numId w:val="0"/>
        </w:numPr>
        <w:ind w:firstLine="642"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10.8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w:t>
      </w:r>
      <w:r>
        <w:rPr>
          <w:rFonts w:hint="eastAsia" w:ascii="TimesNewRoman" w:hAnsi="TimesNewRoman" w:eastAsia="仿宋_GB2312" w:cs="TimesNewRoman"/>
          <w:kern w:val="0"/>
          <w:sz w:val="32"/>
          <w:szCs w:val="32"/>
          <w:lang w:eastAsia="zh-CN"/>
        </w:rPr>
        <w:t>其他商品服务支出，其他对个人和家庭的补助</w:t>
      </w:r>
      <w:r>
        <w:rPr>
          <w:rFonts w:hint="eastAsia" w:ascii="TimesNewRoman" w:hAnsi="TimesNewRoman" w:eastAsia="仿宋_GB2312" w:cs="TimesNewRoman"/>
          <w:kern w:val="0"/>
          <w:sz w:val="32"/>
          <w:szCs w:val="32"/>
        </w:rPr>
        <w:t>等。</w:t>
      </w:r>
    </w:p>
    <w:p>
      <w:pPr>
        <w:pStyle w:val="5"/>
        <w:adjustRightInd w:val="0"/>
        <w:snapToGrid w:val="0"/>
        <w:spacing w:line="560" w:lineRule="exact"/>
        <w:ind w:firstLine="640" w:firstLineChars="200"/>
        <w:rPr>
          <w:rFonts w:ascii="TimesNewRoman" w:hAnsi="TimesNewRoman" w:eastAsia="黑体" w:cs="TimesNewRoman"/>
          <w:bCs/>
          <w:sz w:val="32"/>
          <w:szCs w:val="32"/>
        </w:rPr>
      </w:pPr>
      <w:r>
        <w:rPr>
          <w:rFonts w:hint="eastAsia" w:ascii="TimesNewRoman" w:hAnsi="TimesNewRoman" w:eastAsia="黑体" w:cs="TimesNewRoman"/>
          <w:bCs/>
          <w:sz w:val="32"/>
          <w:szCs w:val="32"/>
        </w:rPr>
        <w:t>七、关于2025年政府性基金预算支出表的说明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城市建设档案馆</w:t>
      </w:r>
      <w:r>
        <w:rPr>
          <w:rFonts w:hint="eastAsia" w:ascii="TimesNewRoman" w:hAnsi="TimesNewRoman" w:eastAsia="仿宋_GB2312" w:cs="TimesNewRoman"/>
          <w:kern w:val="0"/>
          <w:sz w:val="32"/>
          <w:szCs w:val="32"/>
        </w:rPr>
        <w:t>2025年没有政府性基金预算拨款收入，也没有使用政府性基金预算拨款安排的支出。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八、关于2025年国有资本经营预算支出表的说明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城市建设档案馆</w:t>
      </w:r>
      <w:r>
        <w:rPr>
          <w:rFonts w:hint="eastAsia" w:ascii="TimesNewRoman" w:hAnsi="TimesNewRoman" w:eastAsia="仿宋_GB2312" w:cs="TimesNewRoman"/>
          <w:kern w:val="0"/>
          <w:sz w:val="32"/>
          <w:szCs w:val="32"/>
        </w:rPr>
        <w:t>2025年没有国有资本经营预算拨款收入，也没有使用国有资本经营预算拨款安排的支出。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九、关于2025年项目支出表的说明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城市建设档案馆</w:t>
      </w:r>
      <w:r>
        <w:rPr>
          <w:rFonts w:hint="eastAsia" w:ascii="TimesNewRoman" w:hAnsi="TimesNewRoman" w:eastAsia="仿宋_GB2312" w:cs="TimesNewRoman"/>
          <w:kern w:val="0"/>
          <w:sz w:val="32"/>
          <w:szCs w:val="32"/>
        </w:rPr>
        <w:t>2025年预算共安排项目支出</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万元，比2024年预算增加</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2.44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新馆搬迁后装饰装修费用减少及增加新馆的物业服务费用</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十、关于2025年政府采购支出表的说明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val="en-US" w:eastAsia="zh-CN"/>
        </w:rPr>
        <w:t>城市建设档案馆</w:t>
      </w:r>
      <w:r>
        <w:rPr>
          <w:rFonts w:hint="eastAsia" w:ascii="TimesNewRoman" w:hAnsi="TimesNewRoman" w:eastAsia="仿宋_GB2312" w:cs="TimesNewRoman"/>
          <w:kern w:val="0"/>
          <w:sz w:val="32"/>
          <w:szCs w:val="32"/>
        </w:rPr>
        <w:t>2025年预算安排政府采购支出</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rPr>
        <w:t>万元，比2024年预算减少</w:t>
      </w:r>
      <w:r>
        <w:rPr>
          <w:rFonts w:hint="eastAsia" w:ascii="TimesNewRoman" w:hAnsi="TimesNewRoman" w:eastAsia="仿宋_GB2312" w:cs="TimesNewRoman"/>
          <w:kern w:val="0"/>
          <w:sz w:val="32"/>
          <w:szCs w:val="32"/>
          <w:lang w:val="en-US" w:eastAsia="zh-CN"/>
        </w:rPr>
        <w:t>0.5</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71.43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今年采购两台碎纸机，去年</w:t>
      </w:r>
      <w:r>
        <w:rPr>
          <w:rFonts w:hint="eastAsia" w:ascii="TimesNewRoman" w:hAnsi="TimesNewRoman" w:eastAsia="仿宋_GB2312" w:cs="TimesNewRoman"/>
          <w:kern w:val="0"/>
          <w:sz w:val="32"/>
          <w:szCs w:val="32"/>
          <w:lang w:eastAsia="zh-CN"/>
        </w:rPr>
        <w:t>采购两台多功能一体机，</w:t>
      </w:r>
      <w:r>
        <w:rPr>
          <w:rFonts w:hint="eastAsia" w:ascii="TimesNewRoman" w:hAnsi="TimesNewRoman" w:eastAsia="仿宋_GB2312" w:cs="TimesNewRoman"/>
          <w:kern w:val="0"/>
          <w:sz w:val="32"/>
          <w:szCs w:val="32"/>
          <w:lang w:val="en-US" w:eastAsia="zh-CN"/>
        </w:rPr>
        <w:t>碎纸机单价少于</w:t>
      </w:r>
      <w:r>
        <w:rPr>
          <w:rFonts w:hint="eastAsia" w:ascii="TimesNewRoman" w:hAnsi="TimesNewRoman" w:eastAsia="仿宋_GB2312" w:cs="TimesNewRoman"/>
          <w:kern w:val="0"/>
          <w:sz w:val="32"/>
          <w:szCs w:val="32"/>
          <w:lang w:eastAsia="zh-CN"/>
        </w:rPr>
        <w:t>多功能一体机</w:t>
      </w:r>
      <w:r>
        <w:rPr>
          <w:rFonts w:hint="eastAsia" w:ascii="TimesNewRoman" w:hAnsi="TimesNewRoman" w:eastAsia="仿宋_GB2312" w:cs="TimesNewRoman"/>
          <w:kern w:val="0"/>
          <w:sz w:val="32"/>
          <w:szCs w:val="32"/>
        </w:rPr>
        <w:t>。其中，一般公共预算安排</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%；政府性基金预算安排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十一、关于2025年政府购买服务支出表的说明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城市建设档案馆</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年没有安排政府购买服务支出。</w:t>
      </w:r>
    </w:p>
    <w:p>
      <w:pPr>
        <w:pStyle w:val="5"/>
        <w:adjustRightInd w:val="0"/>
        <w:snapToGrid w:val="0"/>
        <w:spacing w:line="560" w:lineRule="exact"/>
        <w:ind w:firstLine="640"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年通用资产配置支出表的说明</w:t>
      </w:r>
    </w:p>
    <w:p>
      <w:pPr>
        <w:pStyle w:val="5"/>
        <w:adjustRightInd w:val="0"/>
        <w:snapToGrid w:val="0"/>
        <w:spacing w:line="560" w:lineRule="exact"/>
        <w:ind w:firstLine="640" w:firstLineChars="200"/>
        <w:outlineLvl w:val="0"/>
        <w:rPr>
          <w:rFonts w:ascii="TimesNewRoman" w:hAnsi="TimesNewRoman" w:eastAsia="仿宋_GB2312" w:cs="TimesNewRoman"/>
          <w:sz w:val="32"/>
          <w:szCs w:val="32"/>
        </w:rPr>
      </w:pPr>
      <w:r>
        <w:rPr>
          <w:rFonts w:hint="eastAsia" w:ascii="TimesNewRoman" w:hAnsi="TimesNewRoman" w:eastAsia="仿宋_GB2312" w:cs="TimesNewRoman"/>
          <w:sz w:val="32"/>
          <w:szCs w:val="32"/>
        </w:rPr>
        <w:t>淮北市</w:t>
      </w:r>
      <w:r>
        <w:rPr>
          <w:rFonts w:hint="eastAsia" w:ascii="TimesNewRoman" w:hAnsi="TimesNewRoman" w:eastAsia="仿宋_GB2312" w:cs="TimesNewRoman"/>
          <w:sz w:val="32"/>
          <w:szCs w:val="32"/>
          <w:lang w:val="en-US" w:eastAsia="zh-CN"/>
        </w:rPr>
        <w:t>城市建设档案馆</w:t>
      </w:r>
      <w:r>
        <w:rPr>
          <w:rFonts w:hint="eastAsia" w:ascii="TimesNewRoman" w:hAnsi="TimesNewRoman" w:eastAsia="仿宋_GB2312" w:cs="TimesNewRoman"/>
          <w:sz w:val="32"/>
          <w:szCs w:val="32"/>
        </w:rPr>
        <w:t>2025</w:t>
      </w:r>
      <w:r>
        <w:rPr>
          <w:rFonts w:ascii="TimesNewRoman" w:hAnsi="TimesNewRoman" w:eastAsia="仿宋_GB2312" w:cs="TimesNewRoman"/>
          <w:sz w:val="32"/>
          <w:szCs w:val="32"/>
        </w:rPr>
        <w:t>年预算安排通用资产配置支出</w:t>
      </w:r>
      <w:r>
        <w:rPr>
          <w:rFonts w:hint="eastAsia" w:ascii="TimesNewRoman" w:hAnsi="TimesNewRoman" w:eastAsia="仿宋_GB2312" w:cs="TimesNewRoman"/>
          <w:sz w:val="32"/>
          <w:szCs w:val="32"/>
          <w:lang w:val="en-US" w:eastAsia="zh-CN"/>
        </w:rPr>
        <w:t>0.2</w:t>
      </w:r>
      <w:r>
        <w:rPr>
          <w:rFonts w:ascii="TimesNewRoman" w:hAnsi="TimesNewRoman" w:eastAsia="仿宋_GB2312" w:cs="TimesNewRoman"/>
          <w:sz w:val="32"/>
          <w:szCs w:val="32"/>
        </w:rPr>
        <w:t>万元，比</w:t>
      </w:r>
      <w:r>
        <w:rPr>
          <w:rFonts w:hint="eastAsia" w:ascii="TimesNewRoman" w:hAnsi="TimesNewRoman" w:eastAsia="仿宋_GB2312" w:cs="TimesNewRoman"/>
          <w:sz w:val="32"/>
          <w:szCs w:val="32"/>
        </w:rPr>
        <w:t>2024</w:t>
      </w:r>
      <w:r>
        <w:rPr>
          <w:rFonts w:ascii="TimesNewRoman" w:hAnsi="TimesNewRoman" w:eastAsia="仿宋_GB2312" w:cs="TimesNewRoman"/>
          <w:sz w:val="32"/>
          <w:szCs w:val="32"/>
        </w:rPr>
        <w:t>年预算减少</w:t>
      </w:r>
      <w:r>
        <w:rPr>
          <w:rFonts w:hint="eastAsia" w:ascii="TimesNewRoman" w:hAnsi="TimesNewRoman" w:eastAsia="仿宋_GB2312" w:cs="TimesNewRoman"/>
          <w:sz w:val="32"/>
          <w:szCs w:val="32"/>
          <w:lang w:val="en-US" w:eastAsia="zh-CN"/>
        </w:rPr>
        <w:t>0.5</w:t>
      </w:r>
      <w:r>
        <w:rPr>
          <w:rFonts w:ascii="TimesNewRoman" w:hAnsi="TimesNewRoman" w:eastAsia="仿宋_GB2312" w:cs="TimesNewRoman"/>
          <w:sz w:val="32"/>
          <w:szCs w:val="32"/>
        </w:rPr>
        <w:t>万元，</w:t>
      </w:r>
      <w:r>
        <w:rPr>
          <w:rFonts w:hint="eastAsia" w:ascii="TimesNewRoman" w:hAnsi="TimesNewRoman" w:eastAsia="仿宋_GB2312" w:cs="TimesNewRoman"/>
          <w:kern w:val="0"/>
          <w:sz w:val="32"/>
          <w:szCs w:val="32"/>
        </w:rPr>
        <w:t>下降</w:t>
      </w:r>
      <w:r>
        <w:rPr>
          <w:rFonts w:hint="eastAsia" w:ascii="TimesNewRoman" w:hAnsi="TimesNewRoman" w:eastAsia="仿宋_GB2312" w:cs="TimesNewRoman"/>
          <w:kern w:val="0"/>
          <w:sz w:val="32"/>
          <w:szCs w:val="32"/>
          <w:lang w:val="en-US" w:eastAsia="zh-CN"/>
        </w:rPr>
        <w:t>71.43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今年采购两台碎纸机，去年</w:t>
      </w:r>
      <w:r>
        <w:rPr>
          <w:rFonts w:hint="eastAsia" w:ascii="TimesNewRoman" w:hAnsi="TimesNewRoman" w:eastAsia="仿宋_GB2312" w:cs="TimesNewRoman"/>
          <w:kern w:val="0"/>
          <w:sz w:val="32"/>
          <w:szCs w:val="32"/>
          <w:lang w:eastAsia="zh-CN"/>
        </w:rPr>
        <w:t>采购两台多功能一体机，</w:t>
      </w:r>
      <w:r>
        <w:rPr>
          <w:rFonts w:hint="eastAsia" w:ascii="TimesNewRoman" w:hAnsi="TimesNewRoman" w:eastAsia="仿宋_GB2312" w:cs="TimesNewRoman"/>
          <w:kern w:val="0"/>
          <w:sz w:val="32"/>
          <w:szCs w:val="32"/>
          <w:lang w:val="en-US" w:eastAsia="zh-CN"/>
        </w:rPr>
        <w:t>碎纸机单价少于</w:t>
      </w:r>
      <w:r>
        <w:rPr>
          <w:rFonts w:hint="eastAsia" w:ascii="TimesNewRoman" w:hAnsi="TimesNewRoman" w:eastAsia="仿宋_GB2312" w:cs="TimesNewRoman"/>
          <w:kern w:val="0"/>
          <w:sz w:val="32"/>
          <w:szCs w:val="32"/>
          <w:lang w:eastAsia="zh-CN"/>
        </w:rPr>
        <w:t>多功能一体机</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十三、其他重要事项情况说明</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val="en-US" w:eastAsia="zh-CN"/>
        </w:rPr>
        <w:t>“城建档案保管与维护经费”项目。</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（1）项目概述：城建档案管理工作和对城建档案进行保管与维护，现保管档案增加至7万多卷。项目支出用于保障市城建档案馆各项日常工作正常开展。</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（2）立项依据。市城建档案工作开展的需要</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（3）实施主体。淮北市城市建设档案馆</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（4）起止时间。2025年1月至12月</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（5）项目内容。该项目用于市城建档案馆日常工作中发生的办公费、邮电费、劳务费、印刷费、公务接待费、其他交通费、维修（护）费、差旅费等支出，还用于办公设备购置等支出。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（6）年度预算安排。2025年一般公共预算安排31万元。</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（7）绩效目标。完成日常档案管理运行，档案验收、接收、整理工作和资金支付进度按期完成。</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83"/>
        <w:gridCol w:w="222"/>
        <w:gridCol w:w="487"/>
        <w:gridCol w:w="286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r>
              <w:rPr>
                <w:rFonts w:hint="eastAsia"/>
              </w:rPr>
              <w:t>项目名称</w:t>
            </w:r>
          </w:p>
        </w:tc>
        <w:tc>
          <w:tcPr>
            <w:tcW w:w="7577" w:type="dxa"/>
            <w:gridSpan w:val="4"/>
            <w:tcBorders>
              <w:tl2br w:val="nil"/>
              <w:tr2bl w:val="nil"/>
            </w:tcBorders>
            <w:vAlign w:val="center"/>
          </w:tcPr>
          <w:p>
            <w:pPr>
              <w:rPr>
                <w:rFonts w:hint="eastAsia"/>
                <w:lang w:eastAsia="zh-CN"/>
              </w:rPr>
            </w:pPr>
            <w:r>
              <w:rPr>
                <w:rFonts w:hint="eastAsia" w:eastAsiaTheme="minorEastAsia"/>
                <w:lang w:eastAsia="zh-CN"/>
              </w:rPr>
              <w:t>办公楼运行费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r>
              <w:rPr>
                <w:rFonts w:hint="eastAsia"/>
              </w:rPr>
              <w:t>主管部门   及代码</w:t>
            </w:r>
          </w:p>
        </w:tc>
        <w:tc>
          <w:tcPr>
            <w:tcW w:w="3349" w:type="dxa"/>
            <w:gridSpan w:val="2"/>
            <w:tcBorders>
              <w:tl2br w:val="nil"/>
              <w:tr2bl w:val="nil"/>
            </w:tcBorders>
            <w:vAlign w:val="center"/>
          </w:tcPr>
          <w:p>
            <w:r>
              <w:rPr>
                <w:rFonts w:hint="eastAsia"/>
              </w:rPr>
              <w:t>[266]淮北市住房和城乡建设局</w:t>
            </w:r>
          </w:p>
        </w:tc>
        <w:tc>
          <w:tcPr>
            <w:tcW w:w="1848" w:type="dxa"/>
            <w:tcBorders>
              <w:tl2br w:val="nil"/>
              <w:tr2bl w:val="nil"/>
            </w:tcBorders>
            <w:vAlign w:val="center"/>
          </w:tcPr>
          <w:p>
            <w:r>
              <w:rPr>
                <w:rFonts w:hint="eastAsia"/>
              </w:rPr>
              <w:t>实施单位</w:t>
            </w:r>
          </w:p>
        </w:tc>
        <w:tc>
          <w:tcPr>
            <w:tcW w:w="2380" w:type="dxa"/>
            <w:tcBorders>
              <w:tl2br w:val="nil"/>
              <w:tr2bl w:val="nil"/>
            </w:tcBorders>
            <w:vAlign w:val="center"/>
          </w:tcPr>
          <w:p>
            <w:pPr>
              <w:rPr>
                <w:rFonts w:hint="eastAsia"/>
                <w:lang w:eastAsia="zh-CN"/>
              </w:rPr>
            </w:pPr>
            <w:r>
              <w:rPr>
                <w:rFonts w:hint="eastAsia" w:eastAsiaTheme="minorEastAsia"/>
                <w:lang w:eastAsia="zh-CN"/>
              </w:rPr>
              <w:t>淮北市城市建设档案馆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r>
              <w:rPr>
                <w:rFonts w:hint="eastAsia"/>
              </w:rPr>
              <w:t>项目来源</w:t>
            </w:r>
          </w:p>
        </w:tc>
        <w:tc>
          <w:tcPr>
            <w:tcW w:w="3349" w:type="dxa"/>
            <w:gridSpan w:val="2"/>
            <w:tcBorders>
              <w:tl2br w:val="nil"/>
              <w:tr2bl w:val="nil"/>
            </w:tcBorders>
            <w:vAlign w:val="center"/>
          </w:tcPr>
          <w:p>
            <w:pPr>
              <w:rPr>
                <w:rFonts w:hint="eastAsia"/>
                <w:lang w:eastAsia="zh-CN"/>
              </w:rPr>
            </w:pPr>
            <w:r>
              <w:rPr>
                <w:rFonts w:hint="eastAsia" w:eastAsiaTheme="minorEastAsia"/>
                <w:lang w:eastAsia="zh-CN"/>
              </w:rPr>
              <w:t>本级项目</w:t>
            </w:r>
          </w:p>
        </w:tc>
        <w:tc>
          <w:tcPr>
            <w:tcW w:w="1848" w:type="dxa"/>
            <w:tcBorders>
              <w:tl2br w:val="nil"/>
              <w:tr2bl w:val="nil"/>
            </w:tcBorders>
            <w:vAlign w:val="center"/>
          </w:tcPr>
          <w:p>
            <w:r>
              <w:rPr>
                <w:rFonts w:hint="eastAsia"/>
              </w:rPr>
              <w:t>项目期</w:t>
            </w:r>
          </w:p>
        </w:tc>
        <w:tc>
          <w:tcPr>
            <w:tcW w:w="2380" w:type="dxa"/>
            <w:tcBorders>
              <w:tl2br w:val="nil"/>
              <w:tr2bl w:val="nil"/>
            </w:tcBorders>
            <w:vAlign w:val="center"/>
          </w:tcPr>
          <w:p>
            <w:pPr>
              <w:rPr>
                <w:rFonts w:hint="eastAsia"/>
                <w:lang w:eastAsia="zh-CN"/>
              </w:rPr>
            </w:pPr>
            <w:r>
              <w:rPr>
                <w:rFonts w:hint="eastAsia" w:eastAsiaTheme="minorEastAsia"/>
                <w:lang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r>
              <w:rPr>
                <w:rFonts w:hint="eastAsia"/>
              </w:rPr>
              <w:t>项目资金</w:t>
            </w:r>
            <w:r>
              <w:rPr>
                <w:rFonts w:hint="eastAsia"/>
              </w:rPr>
              <w:br w:type="textWrapping"/>
            </w:r>
            <w:r>
              <w:rPr>
                <w:rFonts w:hint="eastAsia"/>
              </w:rPr>
              <w:t>（万元）</w:t>
            </w:r>
          </w:p>
        </w:tc>
        <w:tc>
          <w:tcPr>
            <w:tcW w:w="3349" w:type="dxa"/>
            <w:gridSpan w:val="2"/>
            <w:tcBorders>
              <w:tl2br w:val="nil"/>
              <w:tr2bl w:val="nil"/>
            </w:tcBorders>
            <w:vAlign w:val="center"/>
          </w:tcPr>
          <w:p>
            <w:r>
              <w:rPr>
                <w:rFonts w:hint="eastAsia"/>
              </w:rPr>
              <w:t xml:space="preserve"> 年度资金总额：</w:t>
            </w:r>
          </w:p>
        </w:tc>
        <w:tc>
          <w:tcPr>
            <w:tcW w:w="4228" w:type="dxa"/>
            <w:gridSpan w:val="2"/>
            <w:tcBorders>
              <w:tl2br w:val="nil"/>
              <w:tr2bl w:val="nil"/>
            </w:tcBorders>
            <w:vAlign w:val="center"/>
          </w:tcPr>
          <w:p>
            <w:pPr>
              <w:jc w:val="right"/>
              <w:rPr>
                <w:rFonts w:hint="default"/>
                <w:lang w:val="en-US" w:eastAsia="zh-CN"/>
              </w:rPr>
            </w:pPr>
            <w:r>
              <w:rPr>
                <w:rFonts w:hint="eastAsia" w:asciiTheme="minorHAnsi" w:eastAsiaTheme="minorEastAsia"/>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tc>
        <w:tc>
          <w:tcPr>
            <w:tcW w:w="3349" w:type="dxa"/>
            <w:gridSpan w:val="2"/>
            <w:tcBorders>
              <w:tl2br w:val="nil"/>
              <w:tr2bl w:val="nil"/>
            </w:tcBorders>
            <w:vAlign w:val="center"/>
          </w:tcPr>
          <w:p>
            <w:r>
              <w:rPr>
                <w:rFonts w:hint="eastAsia"/>
              </w:rPr>
              <w:t xml:space="preserve">   其中：财政拨款</w:t>
            </w:r>
          </w:p>
        </w:tc>
        <w:tc>
          <w:tcPr>
            <w:tcW w:w="4228" w:type="dxa"/>
            <w:gridSpan w:val="2"/>
            <w:tcBorders>
              <w:tl2br w:val="nil"/>
              <w:tr2bl w:val="nil"/>
            </w:tcBorders>
            <w:vAlign w:val="center"/>
          </w:tcPr>
          <w:p>
            <w:pPr>
              <w:jc w:val="right"/>
              <w:rPr>
                <w:rFonts w:hint="default"/>
                <w:lang w:val="en-US" w:eastAsia="zh-CN"/>
              </w:rPr>
            </w:pPr>
            <w:r>
              <w:rPr>
                <w:rFonts w:hint="eastAsia" w:asciiTheme="minorHAnsi" w:eastAsiaTheme="minorEastAsia"/>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tc>
        <w:tc>
          <w:tcPr>
            <w:tcW w:w="3349" w:type="dxa"/>
            <w:gridSpan w:val="2"/>
            <w:tcBorders>
              <w:tl2br w:val="nil"/>
              <w:tr2bl w:val="nil"/>
            </w:tcBorders>
            <w:vAlign w:val="center"/>
          </w:tcPr>
          <w:p>
            <w:r>
              <w:rPr>
                <w:rFonts w:hint="eastAsia"/>
              </w:rPr>
              <w:t xml:space="preserve">         上年结转</w:t>
            </w:r>
          </w:p>
        </w:tc>
        <w:tc>
          <w:tcPr>
            <w:tcW w:w="4228" w:type="dxa"/>
            <w:gridSpan w:val="2"/>
            <w:tcBorders>
              <w:tl2br w:val="nil"/>
              <w:tr2bl w:val="nil"/>
            </w:tcBorders>
            <w:vAlign w:val="center"/>
          </w:tcPr>
          <w:p>
            <w:pPr>
              <w:jc w:val="righ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tc>
        <w:tc>
          <w:tcPr>
            <w:tcW w:w="3349" w:type="dxa"/>
            <w:gridSpan w:val="2"/>
            <w:tcBorders>
              <w:tl2br w:val="nil"/>
              <w:tr2bl w:val="nil"/>
            </w:tcBorders>
            <w:vAlign w:val="center"/>
          </w:tcPr>
          <w:p>
            <w:r>
              <w:rPr>
                <w:rFonts w:hint="eastAsia"/>
              </w:rPr>
              <w:t xml:space="preserve">         其他资金</w:t>
            </w:r>
          </w:p>
        </w:tc>
        <w:tc>
          <w:tcPr>
            <w:tcW w:w="4228" w:type="dxa"/>
            <w:gridSpan w:val="2"/>
            <w:tcBorders>
              <w:tl2br w:val="nil"/>
              <w:tr2bl w:val="nil"/>
            </w:tcBorders>
            <w:vAlign w:val="center"/>
          </w:tcPr>
          <w:p>
            <w:pPr>
              <w:jc w:val="righ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rPr>
                <w:sz w:val="20"/>
                <w:szCs w:val="20"/>
              </w:rPr>
            </w:pPr>
            <w:r>
              <w:rPr>
                <w:rFonts w:hint="eastAsia"/>
                <w:sz w:val="20"/>
                <w:szCs w:val="20"/>
              </w:rPr>
              <w:t>年度</w:t>
            </w:r>
            <w:r>
              <w:rPr>
                <w:rFonts w:hint="eastAsia"/>
                <w:sz w:val="20"/>
                <w:szCs w:val="20"/>
              </w:rPr>
              <w:br w:type="textWrapping"/>
            </w:r>
            <w:r>
              <w:rPr>
                <w:rFonts w:hint="eastAsia"/>
                <w:sz w:val="20"/>
                <w:szCs w:val="20"/>
              </w:rPr>
              <w:t>目标</w:t>
            </w:r>
          </w:p>
        </w:tc>
        <w:tc>
          <w:tcPr>
            <w:tcW w:w="8582" w:type="dxa"/>
            <w:gridSpan w:val="6"/>
            <w:tcBorders>
              <w:tl2br w:val="nil"/>
              <w:tr2bl w:val="nil"/>
            </w:tcBorders>
            <w:vAlign w:val="center"/>
          </w:tcPr>
          <w:p>
            <w:pPr>
              <w:jc w:val="left"/>
              <w:rPr>
                <w:rFonts w:hint="eastAsia"/>
                <w:sz w:val="20"/>
                <w:szCs w:val="20"/>
                <w:lang w:eastAsia="zh-CN"/>
              </w:rPr>
            </w:pPr>
            <w:r>
              <w:rPr>
                <w:rFonts w:hint="eastAsia"/>
                <w:sz w:val="20"/>
                <w:szCs w:val="20"/>
              </w:rPr>
              <w:t>完成日常档案管理运行，档案验收、接收、整理工作和资金支付进度按期完成。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rPr>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83" w:type="dxa"/>
            <w:tcBorders>
              <w:tl2br w:val="nil"/>
              <w:tr2bl w:val="nil"/>
            </w:tcBorders>
            <w:vAlign w:val="center"/>
          </w:tcPr>
          <w:p>
            <w:pPr>
              <w:rPr>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709" w:type="dxa"/>
            <w:gridSpan w:val="2"/>
            <w:tcBorders>
              <w:tl2br w:val="nil"/>
              <w:tr2bl w:val="nil"/>
            </w:tcBorders>
            <w:vAlign w:val="center"/>
          </w:tcPr>
          <w:p>
            <w:pPr>
              <w:rPr>
                <w:sz w:val="20"/>
                <w:szCs w:val="20"/>
              </w:rPr>
            </w:pPr>
            <w:r>
              <w:rPr>
                <w:rFonts w:hint="eastAsia"/>
                <w:sz w:val="20"/>
                <w:szCs w:val="20"/>
              </w:rPr>
              <w:t>二级指标</w:t>
            </w:r>
          </w:p>
        </w:tc>
        <w:tc>
          <w:tcPr>
            <w:tcW w:w="2862" w:type="dxa"/>
            <w:tcBorders>
              <w:tl2br w:val="nil"/>
              <w:tr2bl w:val="nil"/>
            </w:tcBorders>
            <w:vAlign w:val="center"/>
          </w:tcPr>
          <w:p>
            <w:r>
              <w:rPr>
                <w:rFonts w:hint="eastAsia"/>
              </w:rPr>
              <w:t>三级指标</w:t>
            </w:r>
          </w:p>
        </w:tc>
        <w:tc>
          <w:tcPr>
            <w:tcW w:w="4228" w:type="dxa"/>
            <w:gridSpan w:val="2"/>
            <w:tcBorders>
              <w:tl2br w:val="nil"/>
              <w:tr2bl w:val="nil"/>
            </w:tcBorders>
            <w:vAlign w:val="center"/>
          </w:tcPr>
          <w:p>
            <w:r>
              <w:rPr>
                <w:rFonts w:hint="eastAsia"/>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rPr>
                <w:sz w:val="20"/>
                <w:szCs w:val="20"/>
              </w:rPr>
            </w:pPr>
          </w:p>
        </w:tc>
        <w:tc>
          <w:tcPr>
            <w:tcW w:w="783" w:type="dxa"/>
            <w:vMerge w:val="restart"/>
            <w:tcBorders>
              <w:tl2br w:val="nil"/>
              <w:tr2bl w:val="nil"/>
            </w:tcBorders>
            <w:vAlign w:val="center"/>
          </w:tcPr>
          <w:p>
            <w:pPr>
              <w:rPr>
                <w:sz w:val="20"/>
                <w:szCs w:val="20"/>
              </w:rPr>
            </w:pPr>
            <w:r>
              <w:rPr>
                <w:rFonts w:hint="eastAsia"/>
                <w:sz w:val="20"/>
                <w:szCs w:val="20"/>
              </w:rPr>
              <w:t>产出指标</w:t>
            </w:r>
          </w:p>
        </w:tc>
        <w:tc>
          <w:tcPr>
            <w:tcW w:w="709" w:type="dxa"/>
            <w:gridSpan w:val="2"/>
            <w:tcBorders>
              <w:tl2br w:val="nil"/>
              <w:tr2bl w:val="nil"/>
            </w:tcBorders>
            <w:vAlign w:val="center"/>
          </w:tcPr>
          <w:p>
            <w:pPr>
              <w:rPr>
                <w:sz w:val="20"/>
                <w:szCs w:val="20"/>
              </w:rPr>
            </w:pPr>
            <w:r>
              <w:rPr>
                <w:rFonts w:hint="eastAsia"/>
                <w:sz w:val="20"/>
                <w:szCs w:val="20"/>
              </w:rPr>
              <w:t>数量指标</w:t>
            </w:r>
          </w:p>
        </w:tc>
        <w:tc>
          <w:tcPr>
            <w:tcW w:w="2862" w:type="dxa"/>
            <w:tcBorders>
              <w:tl2br w:val="nil"/>
              <w:tr2bl w:val="nil"/>
            </w:tcBorders>
            <w:vAlign w:val="center"/>
          </w:tcPr>
          <w:p>
            <w:pPr>
              <w:rPr>
                <w:sz w:val="20"/>
                <w:szCs w:val="20"/>
              </w:rPr>
            </w:pPr>
            <w:r>
              <w:rPr>
                <w:sz w:val="20"/>
                <w:szCs w:val="20"/>
              </w:rPr>
              <w:t>城建档案接收卷数</w:t>
            </w:r>
          </w:p>
        </w:tc>
        <w:tc>
          <w:tcPr>
            <w:tcW w:w="4228" w:type="dxa"/>
            <w:gridSpan w:val="2"/>
            <w:tcBorders>
              <w:tl2br w:val="nil"/>
              <w:tr2bl w:val="nil"/>
            </w:tcBorders>
            <w:vAlign w:val="center"/>
          </w:tcPr>
          <w:p>
            <w:pPr>
              <w:rPr>
                <w:rFonts w:hint="eastAsia"/>
                <w:sz w:val="20"/>
                <w:szCs w:val="20"/>
                <w:lang w:eastAsia="zh-CN"/>
              </w:rPr>
            </w:pPr>
            <w:r>
              <w:rPr>
                <w:sz w:val="20"/>
                <w:szCs w:val="20"/>
              </w:rPr>
              <w:t>≥3000</w:t>
            </w:r>
            <w:r>
              <w:rPr>
                <w:rFonts w:hint="eastAsia" w:eastAsiaTheme="minorEastAsia"/>
                <w:sz w:val="20"/>
                <w:szCs w:val="20"/>
                <w:lang w:eastAsia="zh-CN"/>
              </w:rPr>
              <w:t>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rPr>
                <w:sz w:val="20"/>
                <w:szCs w:val="20"/>
              </w:rPr>
            </w:pPr>
          </w:p>
        </w:tc>
        <w:tc>
          <w:tcPr>
            <w:tcW w:w="783" w:type="dxa"/>
            <w:vMerge w:val="continue"/>
            <w:tcBorders>
              <w:tl2br w:val="nil"/>
              <w:tr2bl w:val="nil"/>
            </w:tcBorders>
            <w:vAlign w:val="center"/>
          </w:tcPr>
          <w:p>
            <w:pPr>
              <w:rPr>
                <w:sz w:val="20"/>
                <w:szCs w:val="20"/>
              </w:rPr>
            </w:pPr>
          </w:p>
        </w:tc>
        <w:tc>
          <w:tcPr>
            <w:tcW w:w="709" w:type="dxa"/>
            <w:gridSpan w:val="2"/>
            <w:tcBorders>
              <w:tl2br w:val="nil"/>
              <w:tr2bl w:val="nil"/>
            </w:tcBorders>
            <w:vAlign w:val="center"/>
          </w:tcPr>
          <w:p>
            <w:pPr>
              <w:rPr>
                <w:sz w:val="20"/>
                <w:szCs w:val="20"/>
              </w:rPr>
            </w:pPr>
            <w:r>
              <w:rPr>
                <w:rFonts w:hint="eastAsia"/>
                <w:sz w:val="20"/>
                <w:szCs w:val="20"/>
              </w:rPr>
              <w:t>质量指标</w:t>
            </w:r>
          </w:p>
        </w:tc>
        <w:tc>
          <w:tcPr>
            <w:tcW w:w="2862" w:type="dxa"/>
            <w:tcBorders>
              <w:tl2br w:val="nil"/>
              <w:tr2bl w:val="nil"/>
            </w:tcBorders>
            <w:vAlign w:val="center"/>
          </w:tcPr>
          <w:p>
            <w:pPr>
              <w:rPr>
                <w:sz w:val="20"/>
                <w:szCs w:val="20"/>
              </w:rPr>
            </w:pPr>
            <w:r>
              <w:rPr>
                <w:sz w:val="20"/>
                <w:szCs w:val="20"/>
              </w:rPr>
              <w:t>档案接收质量</w:t>
            </w:r>
          </w:p>
        </w:tc>
        <w:tc>
          <w:tcPr>
            <w:tcW w:w="4228" w:type="dxa"/>
            <w:gridSpan w:val="2"/>
            <w:tcBorders>
              <w:tl2br w:val="nil"/>
              <w:tr2bl w:val="nil"/>
            </w:tcBorders>
            <w:vAlign w:val="center"/>
          </w:tcPr>
          <w:p>
            <w:pPr>
              <w:rPr>
                <w:rFonts w:hint="default"/>
                <w:sz w:val="20"/>
                <w:szCs w:val="20"/>
                <w:lang w:val="en-US" w:eastAsia="zh-CN"/>
              </w:rPr>
            </w:pPr>
            <w:r>
              <w:rPr>
                <w:sz w:val="20"/>
                <w:szCs w:val="20"/>
              </w:rPr>
              <w:t>符合城建档案接收标准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rPr>
                <w:sz w:val="20"/>
                <w:szCs w:val="20"/>
              </w:rPr>
            </w:pPr>
          </w:p>
        </w:tc>
        <w:tc>
          <w:tcPr>
            <w:tcW w:w="783" w:type="dxa"/>
            <w:vMerge w:val="continue"/>
            <w:tcBorders>
              <w:tl2br w:val="nil"/>
              <w:tr2bl w:val="nil"/>
            </w:tcBorders>
            <w:vAlign w:val="center"/>
          </w:tcPr>
          <w:p>
            <w:pPr>
              <w:rPr>
                <w:sz w:val="20"/>
                <w:szCs w:val="20"/>
              </w:rPr>
            </w:pPr>
          </w:p>
        </w:tc>
        <w:tc>
          <w:tcPr>
            <w:tcW w:w="709" w:type="dxa"/>
            <w:gridSpan w:val="2"/>
            <w:tcBorders>
              <w:tl2br w:val="nil"/>
              <w:tr2bl w:val="nil"/>
            </w:tcBorders>
            <w:vAlign w:val="center"/>
          </w:tcPr>
          <w:p>
            <w:pPr>
              <w:rPr>
                <w:sz w:val="20"/>
                <w:szCs w:val="20"/>
              </w:rPr>
            </w:pPr>
            <w:r>
              <w:rPr>
                <w:rFonts w:hint="eastAsia"/>
                <w:sz w:val="20"/>
                <w:szCs w:val="20"/>
              </w:rPr>
              <w:t>时效指标</w:t>
            </w:r>
          </w:p>
        </w:tc>
        <w:tc>
          <w:tcPr>
            <w:tcW w:w="2862" w:type="dxa"/>
            <w:tcBorders>
              <w:tl2br w:val="nil"/>
              <w:tr2bl w:val="nil"/>
            </w:tcBorders>
            <w:vAlign w:val="center"/>
          </w:tcPr>
          <w:p>
            <w:pPr>
              <w:rPr>
                <w:sz w:val="20"/>
                <w:szCs w:val="20"/>
              </w:rPr>
            </w:pPr>
            <w:r>
              <w:rPr>
                <w:sz w:val="20"/>
                <w:szCs w:val="20"/>
              </w:rPr>
              <w:t>支付及时率</w:t>
            </w:r>
          </w:p>
        </w:tc>
        <w:tc>
          <w:tcPr>
            <w:tcW w:w="4228" w:type="dxa"/>
            <w:gridSpan w:val="2"/>
            <w:tcBorders>
              <w:tl2br w:val="nil"/>
              <w:tr2bl w:val="nil"/>
            </w:tcBorders>
            <w:vAlign w:val="center"/>
          </w:tcPr>
          <w:p>
            <w:pPr>
              <w:rPr>
                <w:rFonts w:hint="default"/>
                <w:sz w:val="20"/>
                <w:szCs w:val="20"/>
                <w:lang w:val="en-US" w:eastAsia="zh-CN"/>
              </w:rPr>
            </w:pPr>
            <w:r>
              <w:rPr>
                <w:rFonts w:hint="eastAsia" w:asciiTheme="minorHAnsi" w:eastAsiaTheme="minorEastAsia"/>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rPr>
                <w:sz w:val="20"/>
                <w:szCs w:val="20"/>
              </w:rPr>
            </w:pPr>
          </w:p>
        </w:tc>
        <w:tc>
          <w:tcPr>
            <w:tcW w:w="783" w:type="dxa"/>
            <w:vMerge w:val="continue"/>
            <w:tcBorders>
              <w:tl2br w:val="nil"/>
              <w:tr2bl w:val="nil"/>
            </w:tcBorders>
            <w:vAlign w:val="center"/>
          </w:tcPr>
          <w:p>
            <w:pPr>
              <w:rPr>
                <w:sz w:val="20"/>
                <w:szCs w:val="20"/>
              </w:rPr>
            </w:pPr>
          </w:p>
        </w:tc>
        <w:tc>
          <w:tcPr>
            <w:tcW w:w="709" w:type="dxa"/>
            <w:gridSpan w:val="2"/>
            <w:tcBorders>
              <w:tl2br w:val="nil"/>
              <w:tr2bl w:val="nil"/>
            </w:tcBorders>
            <w:vAlign w:val="center"/>
          </w:tcPr>
          <w:p>
            <w:pPr>
              <w:rPr>
                <w:sz w:val="20"/>
                <w:szCs w:val="20"/>
              </w:rPr>
            </w:pPr>
            <w:r>
              <w:rPr>
                <w:rFonts w:hint="eastAsia"/>
                <w:sz w:val="20"/>
                <w:szCs w:val="20"/>
              </w:rPr>
              <w:t>成本指标</w:t>
            </w:r>
          </w:p>
        </w:tc>
        <w:tc>
          <w:tcPr>
            <w:tcW w:w="2862" w:type="dxa"/>
            <w:tcBorders>
              <w:tl2br w:val="nil"/>
              <w:tr2bl w:val="nil"/>
            </w:tcBorders>
            <w:vAlign w:val="center"/>
          </w:tcPr>
          <w:p>
            <w:pPr>
              <w:rPr>
                <w:sz w:val="20"/>
                <w:szCs w:val="20"/>
              </w:rPr>
            </w:pPr>
            <w:r>
              <w:rPr>
                <w:sz w:val="20"/>
                <w:szCs w:val="20"/>
              </w:rPr>
              <w:t>工作成本</w:t>
            </w:r>
          </w:p>
        </w:tc>
        <w:tc>
          <w:tcPr>
            <w:tcW w:w="4228" w:type="dxa"/>
            <w:gridSpan w:val="2"/>
            <w:tcBorders>
              <w:tl2br w:val="nil"/>
              <w:tr2bl w:val="nil"/>
            </w:tcBorders>
            <w:vAlign w:val="center"/>
          </w:tcPr>
          <w:p>
            <w:pPr>
              <w:rPr>
                <w:sz w:val="20"/>
                <w:szCs w:val="20"/>
              </w:rPr>
            </w:pPr>
            <w:r>
              <w:rPr>
                <w:sz w:val="20"/>
                <w:szCs w:val="20"/>
              </w:rPr>
              <w:t>小于等于档案管理工作正常运行需要的人员设备等成本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rPr>
                <w:sz w:val="20"/>
                <w:szCs w:val="20"/>
              </w:rPr>
            </w:pPr>
          </w:p>
        </w:tc>
        <w:tc>
          <w:tcPr>
            <w:tcW w:w="783" w:type="dxa"/>
            <w:vMerge w:val="restart"/>
            <w:tcBorders>
              <w:tl2br w:val="nil"/>
              <w:tr2bl w:val="nil"/>
            </w:tcBorders>
            <w:vAlign w:val="center"/>
          </w:tcPr>
          <w:p>
            <w:pPr>
              <w:rPr>
                <w:sz w:val="20"/>
                <w:szCs w:val="20"/>
              </w:rPr>
            </w:pPr>
            <w:r>
              <w:rPr>
                <w:rFonts w:hint="eastAsia"/>
                <w:sz w:val="20"/>
                <w:szCs w:val="20"/>
              </w:rPr>
              <w:t>效益指标</w:t>
            </w:r>
          </w:p>
        </w:tc>
        <w:tc>
          <w:tcPr>
            <w:tcW w:w="709" w:type="dxa"/>
            <w:gridSpan w:val="2"/>
            <w:tcBorders>
              <w:tl2br w:val="nil"/>
              <w:tr2bl w:val="nil"/>
            </w:tcBorders>
            <w:vAlign w:val="center"/>
          </w:tcPr>
          <w:p>
            <w:pPr>
              <w:rPr>
                <w:sz w:val="20"/>
                <w:szCs w:val="20"/>
              </w:rPr>
            </w:pPr>
            <w:r>
              <w:rPr>
                <w:rFonts w:hint="eastAsia"/>
                <w:sz w:val="20"/>
                <w:szCs w:val="20"/>
              </w:rPr>
              <w:t>经济效益指标</w:t>
            </w:r>
          </w:p>
        </w:tc>
        <w:tc>
          <w:tcPr>
            <w:tcW w:w="2862" w:type="dxa"/>
            <w:tcBorders>
              <w:tl2br w:val="nil"/>
              <w:tr2bl w:val="nil"/>
            </w:tcBorders>
            <w:vAlign w:val="center"/>
          </w:tcPr>
          <w:p>
            <w:pPr>
              <w:rPr>
                <w:sz w:val="20"/>
                <w:szCs w:val="20"/>
              </w:rPr>
            </w:pPr>
            <w:r>
              <w:rPr>
                <w:sz w:val="20"/>
                <w:szCs w:val="20"/>
              </w:rPr>
              <w:t>为房屋建设、市政工程、城市建设等提供档案服务</w:t>
            </w:r>
          </w:p>
        </w:tc>
        <w:tc>
          <w:tcPr>
            <w:tcW w:w="4228" w:type="dxa"/>
            <w:gridSpan w:val="2"/>
            <w:tcBorders>
              <w:tl2br w:val="nil"/>
              <w:tr2bl w:val="nil"/>
            </w:tcBorders>
            <w:vAlign w:val="center"/>
          </w:tcPr>
          <w:p>
            <w:pPr>
              <w:rPr>
                <w:rFonts w:hint="eastAsia" w:eastAsiaTheme="minorEastAsia"/>
                <w:sz w:val="20"/>
                <w:szCs w:val="20"/>
                <w:lang w:val="en" w:eastAsia="zh-CN"/>
              </w:rPr>
            </w:pPr>
            <w:r>
              <w:rPr>
                <w:rFonts w:hint="eastAsia" w:asciiTheme="minorHAnsi" w:eastAsiaTheme="minorEastAsia"/>
                <w:sz w:val="20"/>
                <w:szCs w:val="20"/>
                <w:lang w:val="en" w:eastAsia="zh-CN"/>
              </w:rPr>
              <w:t>有效提供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rPr>
                <w:sz w:val="20"/>
                <w:szCs w:val="20"/>
              </w:rPr>
            </w:pPr>
          </w:p>
        </w:tc>
        <w:tc>
          <w:tcPr>
            <w:tcW w:w="783" w:type="dxa"/>
            <w:vMerge w:val="continue"/>
            <w:tcBorders>
              <w:tl2br w:val="nil"/>
              <w:tr2bl w:val="nil"/>
            </w:tcBorders>
            <w:vAlign w:val="center"/>
          </w:tcPr>
          <w:p>
            <w:pPr>
              <w:rPr>
                <w:sz w:val="20"/>
                <w:szCs w:val="20"/>
              </w:rPr>
            </w:pPr>
          </w:p>
        </w:tc>
        <w:tc>
          <w:tcPr>
            <w:tcW w:w="709" w:type="dxa"/>
            <w:gridSpan w:val="2"/>
            <w:tcBorders>
              <w:tl2br w:val="nil"/>
              <w:tr2bl w:val="nil"/>
            </w:tcBorders>
            <w:vAlign w:val="center"/>
          </w:tcPr>
          <w:p>
            <w:pPr>
              <w:rPr>
                <w:sz w:val="20"/>
                <w:szCs w:val="20"/>
              </w:rPr>
            </w:pPr>
            <w:r>
              <w:rPr>
                <w:rFonts w:hint="eastAsia"/>
                <w:sz w:val="20"/>
                <w:szCs w:val="20"/>
              </w:rPr>
              <w:t>社会效益指标</w:t>
            </w:r>
          </w:p>
        </w:tc>
        <w:tc>
          <w:tcPr>
            <w:tcW w:w="2862" w:type="dxa"/>
            <w:tcBorders>
              <w:tl2br w:val="nil"/>
              <w:tr2bl w:val="nil"/>
            </w:tcBorders>
            <w:vAlign w:val="center"/>
          </w:tcPr>
          <w:p>
            <w:pPr>
              <w:rPr>
                <w:rFonts w:hint="eastAsia" w:eastAsiaTheme="minorEastAsia"/>
                <w:sz w:val="20"/>
                <w:szCs w:val="20"/>
                <w:lang w:eastAsia="zh-CN"/>
              </w:rPr>
            </w:pPr>
            <w:r>
              <w:rPr>
                <w:sz w:val="20"/>
                <w:szCs w:val="20"/>
              </w:rPr>
              <w:t>为工程建设、诉讼纠纷、城市改造等提供基础资料</w:t>
            </w:r>
          </w:p>
        </w:tc>
        <w:tc>
          <w:tcPr>
            <w:tcW w:w="4228" w:type="dxa"/>
            <w:gridSpan w:val="2"/>
            <w:tcBorders>
              <w:tl2br w:val="nil"/>
              <w:tr2bl w:val="nil"/>
            </w:tcBorders>
            <w:vAlign w:val="center"/>
          </w:tcPr>
          <w:p>
            <w:pPr>
              <w:rPr>
                <w:rFonts w:hint="eastAsia" w:eastAsiaTheme="minorEastAsia"/>
                <w:sz w:val="20"/>
                <w:szCs w:val="20"/>
                <w:lang w:eastAsia="zh-CN"/>
              </w:rPr>
            </w:pPr>
            <w:r>
              <w:rPr>
                <w:rFonts w:hint="eastAsia" w:eastAsiaTheme="minorEastAsia"/>
                <w:sz w:val="20"/>
                <w:szCs w:val="20"/>
                <w:lang w:eastAsia="zh-CN"/>
              </w:rPr>
              <w:t>有效提供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rPr>
                <w:sz w:val="20"/>
                <w:szCs w:val="20"/>
              </w:rPr>
            </w:pPr>
          </w:p>
        </w:tc>
        <w:tc>
          <w:tcPr>
            <w:tcW w:w="783" w:type="dxa"/>
            <w:vMerge w:val="continue"/>
            <w:tcBorders>
              <w:tl2br w:val="nil"/>
              <w:tr2bl w:val="nil"/>
            </w:tcBorders>
            <w:vAlign w:val="center"/>
          </w:tcPr>
          <w:p>
            <w:pPr>
              <w:rPr>
                <w:sz w:val="20"/>
                <w:szCs w:val="20"/>
              </w:rPr>
            </w:pPr>
          </w:p>
        </w:tc>
        <w:tc>
          <w:tcPr>
            <w:tcW w:w="709" w:type="dxa"/>
            <w:gridSpan w:val="2"/>
            <w:tcBorders>
              <w:tl2br w:val="nil"/>
              <w:tr2bl w:val="nil"/>
            </w:tcBorders>
            <w:vAlign w:val="center"/>
          </w:tcPr>
          <w:p>
            <w:pPr>
              <w:rPr>
                <w:sz w:val="20"/>
                <w:szCs w:val="20"/>
              </w:rPr>
            </w:pPr>
            <w:r>
              <w:rPr>
                <w:rFonts w:hint="eastAsia"/>
                <w:sz w:val="20"/>
                <w:szCs w:val="20"/>
              </w:rPr>
              <w:t>生态效益指标</w:t>
            </w:r>
          </w:p>
        </w:tc>
        <w:tc>
          <w:tcPr>
            <w:tcW w:w="2862" w:type="dxa"/>
            <w:tcBorders>
              <w:tl2br w:val="nil"/>
              <w:tr2bl w:val="nil"/>
            </w:tcBorders>
            <w:vAlign w:val="center"/>
          </w:tcPr>
          <w:p>
            <w:pPr>
              <w:rPr>
                <w:sz w:val="20"/>
                <w:szCs w:val="20"/>
              </w:rPr>
            </w:pPr>
            <w:r>
              <w:rPr>
                <w:sz w:val="20"/>
                <w:szCs w:val="20"/>
              </w:rPr>
              <w:t>正常运行中节能高效、减少污染</w:t>
            </w:r>
          </w:p>
        </w:tc>
        <w:tc>
          <w:tcPr>
            <w:tcW w:w="4228" w:type="dxa"/>
            <w:gridSpan w:val="2"/>
            <w:tcBorders>
              <w:tl2br w:val="nil"/>
              <w:tr2bl w:val="nil"/>
            </w:tcBorders>
            <w:vAlign w:val="center"/>
          </w:tcPr>
          <w:p>
            <w:pPr>
              <w:rPr>
                <w:rFonts w:hint="eastAsia" w:eastAsiaTheme="minorEastAsia"/>
                <w:sz w:val="20"/>
                <w:szCs w:val="20"/>
                <w:lang w:eastAsia="zh-CN"/>
              </w:rPr>
            </w:pPr>
            <w:r>
              <w:rPr>
                <w:rFonts w:hint="eastAsia" w:eastAsiaTheme="minorEastAsia"/>
                <w:sz w:val="20"/>
                <w:szCs w:val="20"/>
                <w:lang w:eastAsia="zh-CN"/>
              </w:rPr>
              <w:t>显著改善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rPr>
                <w:sz w:val="20"/>
                <w:szCs w:val="20"/>
              </w:rPr>
            </w:pPr>
          </w:p>
        </w:tc>
        <w:tc>
          <w:tcPr>
            <w:tcW w:w="783" w:type="dxa"/>
            <w:vMerge w:val="continue"/>
            <w:tcBorders>
              <w:tl2br w:val="nil"/>
              <w:tr2bl w:val="nil"/>
            </w:tcBorders>
            <w:vAlign w:val="center"/>
          </w:tcPr>
          <w:p>
            <w:pPr>
              <w:rPr>
                <w:sz w:val="20"/>
                <w:szCs w:val="20"/>
              </w:rPr>
            </w:pPr>
          </w:p>
        </w:tc>
        <w:tc>
          <w:tcPr>
            <w:tcW w:w="709" w:type="dxa"/>
            <w:gridSpan w:val="2"/>
            <w:tcBorders>
              <w:tl2br w:val="nil"/>
              <w:tr2bl w:val="nil"/>
            </w:tcBorders>
            <w:vAlign w:val="center"/>
          </w:tcPr>
          <w:p>
            <w:pPr>
              <w:rPr>
                <w:rFonts w:hint="eastAsia"/>
                <w:sz w:val="20"/>
                <w:szCs w:val="20"/>
              </w:rPr>
            </w:pPr>
            <w:r>
              <w:rPr>
                <w:rFonts w:hint="eastAsia"/>
                <w:sz w:val="20"/>
                <w:szCs w:val="20"/>
              </w:rPr>
              <w:t>可持续影响指标</w:t>
            </w:r>
          </w:p>
        </w:tc>
        <w:tc>
          <w:tcPr>
            <w:tcW w:w="2862" w:type="dxa"/>
            <w:tcBorders>
              <w:tl2br w:val="nil"/>
              <w:tr2bl w:val="nil"/>
            </w:tcBorders>
            <w:vAlign w:val="center"/>
          </w:tcPr>
          <w:p>
            <w:pPr>
              <w:rPr>
                <w:rFonts w:hint="eastAsia"/>
                <w:sz w:val="20"/>
                <w:szCs w:val="20"/>
              </w:rPr>
            </w:pPr>
            <w:r>
              <w:rPr>
                <w:sz w:val="20"/>
                <w:szCs w:val="20"/>
              </w:rPr>
              <w:t>保持工作正常持续开展</w:t>
            </w:r>
            <w:r>
              <w:rPr>
                <w:rFonts w:hint="eastAsia"/>
                <w:sz w:val="20"/>
                <w:szCs w:val="20"/>
              </w:rPr>
              <w:t>可持续影响</w:t>
            </w:r>
          </w:p>
        </w:tc>
        <w:tc>
          <w:tcPr>
            <w:tcW w:w="4228" w:type="dxa"/>
            <w:gridSpan w:val="2"/>
            <w:tcBorders>
              <w:tl2br w:val="nil"/>
              <w:tr2bl w:val="nil"/>
            </w:tcBorders>
            <w:vAlign w:val="center"/>
          </w:tcPr>
          <w:p>
            <w:pPr>
              <w:rPr>
                <w:rFonts w:hint="eastAsia" w:eastAsiaTheme="minorEastAsia"/>
                <w:sz w:val="20"/>
                <w:szCs w:val="20"/>
                <w:lang w:eastAsia="zh-CN"/>
              </w:rPr>
            </w:pPr>
            <w:r>
              <w:rPr>
                <w:rFonts w:hint="eastAsia" w:eastAsiaTheme="minorEastAsia"/>
                <w:sz w:val="20"/>
                <w:szCs w:val="20"/>
                <w:lang w:eastAsia="zh-CN"/>
              </w:rPr>
              <w:t>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rPr>
                <w:sz w:val="20"/>
                <w:szCs w:val="20"/>
              </w:rPr>
            </w:pPr>
          </w:p>
        </w:tc>
        <w:tc>
          <w:tcPr>
            <w:tcW w:w="783" w:type="dxa"/>
            <w:tcBorders>
              <w:tl2br w:val="nil"/>
              <w:tr2bl w:val="nil"/>
            </w:tcBorders>
            <w:vAlign w:val="center"/>
          </w:tcPr>
          <w:p>
            <w:pPr>
              <w:rPr>
                <w:rFonts w:hint="eastAsia"/>
                <w:sz w:val="20"/>
                <w:szCs w:val="20"/>
              </w:rPr>
            </w:pPr>
            <w:r>
              <w:rPr>
                <w:rFonts w:hint="eastAsia"/>
                <w:sz w:val="20"/>
                <w:szCs w:val="20"/>
              </w:rPr>
              <w:t>满意度指标</w:t>
            </w:r>
          </w:p>
        </w:tc>
        <w:tc>
          <w:tcPr>
            <w:tcW w:w="709" w:type="dxa"/>
            <w:gridSpan w:val="2"/>
            <w:tcBorders>
              <w:tl2br w:val="nil"/>
              <w:tr2bl w:val="nil"/>
            </w:tcBorders>
            <w:vAlign w:val="center"/>
          </w:tcPr>
          <w:p>
            <w:pPr>
              <w:rPr>
                <w:rFonts w:hint="eastAsia"/>
                <w:sz w:val="20"/>
                <w:szCs w:val="20"/>
              </w:rPr>
            </w:pPr>
            <w:r>
              <w:rPr>
                <w:rFonts w:hint="eastAsia"/>
                <w:sz w:val="20"/>
                <w:szCs w:val="20"/>
              </w:rPr>
              <w:t>满意度指标</w:t>
            </w:r>
          </w:p>
        </w:tc>
        <w:tc>
          <w:tcPr>
            <w:tcW w:w="2862" w:type="dxa"/>
            <w:tcBorders>
              <w:tl2br w:val="nil"/>
              <w:tr2bl w:val="nil"/>
            </w:tcBorders>
            <w:vAlign w:val="center"/>
          </w:tcPr>
          <w:p>
            <w:pPr>
              <w:rPr>
                <w:rFonts w:hint="eastAsia"/>
                <w:sz w:val="20"/>
                <w:szCs w:val="20"/>
              </w:rPr>
            </w:pPr>
            <w:r>
              <w:rPr>
                <w:rFonts w:hint="eastAsia" w:eastAsiaTheme="minorEastAsia"/>
                <w:sz w:val="20"/>
                <w:szCs w:val="20"/>
                <w:lang w:eastAsia="zh-CN"/>
              </w:rPr>
              <w:t>群众</w:t>
            </w:r>
            <w:r>
              <w:rPr>
                <w:rFonts w:hint="eastAsia"/>
                <w:sz w:val="20"/>
                <w:szCs w:val="20"/>
              </w:rPr>
              <w:t>满意度</w:t>
            </w:r>
          </w:p>
        </w:tc>
        <w:tc>
          <w:tcPr>
            <w:tcW w:w="4228" w:type="dxa"/>
            <w:gridSpan w:val="2"/>
            <w:tcBorders>
              <w:tl2br w:val="nil"/>
              <w:tr2bl w:val="nil"/>
            </w:tcBorders>
            <w:vAlign w:val="center"/>
          </w:tcPr>
          <w:p>
            <w:pPr>
              <w:rPr>
                <w:rFonts w:hint="eastAsia" w:eastAsiaTheme="minorEastAsia"/>
                <w:sz w:val="20"/>
                <w:szCs w:val="20"/>
                <w:lang w:val="en" w:eastAsia="zh-CN"/>
              </w:rPr>
            </w:pPr>
            <w:r>
              <w:rPr>
                <w:rFonts w:hint="default" w:ascii="Arial" w:hAnsi="Arial" w:cs="Arial"/>
                <w:sz w:val="20"/>
                <w:szCs w:val="20"/>
              </w:rPr>
              <w:t>≥</w:t>
            </w:r>
            <w:r>
              <w:rPr>
                <w:rFonts w:hint="default" w:ascii="Arial"/>
                <w:sz w:val="20"/>
                <w:szCs w:val="20"/>
                <w:lang w:val="en"/>
              </w:rPr>
              <w:t>90</w:t>
            </w:r>
            <w:r>
              <w:rPr>
                <w:rFonts w:hint="eastAsia" w:ascii="Arial"/>
                <w:sz w:val="20"/>
                <w:szCs w:val="20"/>
                <w:lang w:val="en" w:eastAsia="zh-CN"/>
              </w:rPr>
              <w:t>％</w:t>
            </w:r>
          </w:p>
        </w:tc>
      </w:tr>
    </w:tbl>
    <w:p>
      <w:pPr>
        <w:ind w:firstLine="420" w:firstLineChars="200"/>
      </w:pPr>
    </w:p>
    <w:p>
      <w:pPr>
        <w:ind w:firstLine="420" w:firstLineChars="200"/>
      </w:pP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办公楼运行费</w:t>
      </w:r>
      <w:r>
        <w:rPr>
          <w:rFonts w:hint="eastAsia" w:ascii="TimesNewRoman" w:hAnsi="TimesNewRoman" w:eastAsia="仿宋_GB2312" w:cs="TimesNewRoman"/>
          <w:kern w:val="0"/>
          <w:sz w:val="32"/>
          <w:szCs w:val="32"/>
        </w:rPr>
        <w:t>”项目。</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（1）项目概述。用于办公楼用电及物业管理等支出</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（2）立项依据。大楼日常开支据实依据</w:t>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r>
        <w:rPr>
          <w:rFonts w:hint="eastAsia" w:ascii="TimesNewRoman" w:hAnsi="TimesNewRoman" w:eastAsia="仿宋_GB2312" w:cs="TimesNewRoman"/>
          <w:kern w:val="0"/>
          <w:sz w:val="32"/>
          <w:szCs w:val="32"/>
        </w:rPr>
        <w:tab/>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（3）实施主体。淮北市</w:t>
      </w:r>
      <w:r>
        <w:rPr>
          <w:rFonts w:hint="eastAsia" w:ascii="TimesNewRoman" w:hAnsi="TimesNewRoman" w:eastAsia="仿宋_GB2312" w:cs="TimesNewRoman"/>
          <w:kern w:val="0"/>
          <w:sz w:val="32"/>
          <w:szCs w:val="32"/>
          <w:lang w:val="en-US" w:eastAsia="zh-CN"/>
        </w:rPr>
        <w:t>城市建设档案馆</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w:t>
      </w:r>
      <w:r>
        <w:rPr>
          <w:rFonts w:hint="eastAsia" w:ascii="TimesNewRoman" w:hAnsi="TimesNewRoman" w:eastAsia="仿宋_GB2312" w:cs="TimesNewRoman"/>
          <w:kern w:val="0"/>
          <w:sz w:val="32"/>
          <w:szCs w:val="32"/>
          <w:lang w:val="en-US" w:eastAsia="zh-CN"/>
        </w:rPr>
        <w:t>-</w:t>
      </w:r>
      <w:r>
        <w:rPr>
          <w:rFonts w:hint="eastAsia" w:ascii="TimesNewRoman" w:hAnsi="TimesNewRoman" w:eastAsia="仿宋_GB2312" w:cs="TimesNewRoman"/>
          <w:kern w:val="0"/>
          <w:sz w:val="32"/>
          <w:szCs w:val="32"/>
        </w:rPr>
        <w:t>12月</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保</w:t>
      </w:r>
      <w:r>
        <w:rPr>
          <w:rFonts w:hint="eastAsia" w:ascii="TimesNewRoman" w:hAnsi="TimesNewRoman" w:eastAsia="仿宋_GB2312" w:cs="TimesNewRoman"/>
          <w:kern w:val="0"/>
          <w:sz w:val="32"/>
          <w:szCs w:val="32"/>
        </w:rPr>
        <w:t>障办公楼日常运转</w:t>
      </w:r>
      <w:r>
        <w:rPr>
          <w:rFonts w:hint="eastAsia" w:ascii="TimesNewRoman" w:hAnsi="TimesNewRoman" w:eastAsia="仿宋_GB2312" w:cs="TimesNewRoman"/>
          <w:kern w:val="0"/>
          <w:sz w:val="32"/>
          <w:szCs w:val="32"/>
          <w:lang w:eastAsia="zh-CN"/>
        </w:rPr>
        <w:t>所需的水费、电费、物业管理、</w:t>
      </w:r>
      <w:r>
        <w:rPr>
          <w:rFonts w:hint="eastAsia" w:ascii="TimesNewRoman" w:hAnsi="TimesNewRoman" w:eastAsia="仿宋_GB2312" w:cs="TimesNewRoman"/>
          <w:kern w:val="0"/>
          <w:sz w:val="32"/>
          <w:szCs w:val="32"/>
          <w:lang w:val="en-US" w:eastAsia="zh-CN"/>
        </w:rPr>
        <w:t>保洁等费用</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（6）年度预算安排。202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年一般公共预算安排</w:t>
      </w: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pPr>
              <w:jc w:val="both"/>
              <w:rPr>
                <w:rFonts w:ascii="宋体" w:cs="宋体"/>
                <w:sz w:val="20"/>
              </w:rPr>
            </w:pPr>
            <w:r>
              <w:rPr>
                <w:rFonts w:hint="eastAsia" w:ascii="宋体" w:cs="宋体"/>
                <w:sz w:val="20"/>
                <w:lang w:eastAsia="zh-CN"/>
              </w:rPr>
              <w:t>办公楼运行费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pPr>
              <w:jc w:val="center"/>
              <w:rPr>
                <w:rFonts w:ascii="宋体" w:cs="宋体"/>
                <w:sz w:val="20"/>
              </w:rPr>
            </w:pPr>
            <w:r>
              <w:rPr>
                <w:rFonts w:hint="eastAsia" w:ascii="宋体" w:cs="宋体"/>
                <w:sz w:val="20"/>
              </w:rPr>
              <w:t>[266]淮北市住房和城乡建设局</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pPr>
              <w:jc w:val="center"/>
            </w:pPr>
            <w:r>
              <w:rPr>
                <w:rFonts w:hint="eastAsia" w:ascii="宋体" w:cs="宋体"/>
                <w:sz w:val="20"/>
                <w:lang w:eastAsia="zh-CN"/>
              </w:rPr>
              <w:t>淮北市城市建设档案馆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pPr>
              <w:jc w:val="center"/>
              <w:rPr>
                <w:rFonts w:hint="eastAsia" w:ascii="宋体" w:eastAsia="宋体" w:cs="宋体"/>
                <w:sz w:val="20"/>
                <w:lang w:val="en-US" w:eastAsia="zh-CN"/>
              </w:rPr>
            </w:pPr>
            <w:r>
              <w:rPr>
                <w:rFonts w:hint="eastAsia" w:ascii="宋体" w:cs="宋体"/>
                <w:sz w:val="20"/>
                <w:lang w:eastAsia="zh-CN"/>
              </w:rPr>
              <w:t>本级项目</w:t>
            </w:r>
          </w:p>
        </w:tc>
        <w:tc>
          <w:tcPr>
            <w:tcW w:w="1848" w:type="dxa"/>
            <w:tcBorders>
              <w:tl2br w:val="nil"/>
              <w:tr2bl w:val="nil"/>
            </w:tcBorders>
            <w:noWrap w:val="0"/>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pPr>
              <w:jc w:val="center"/>
              <w:rPr>
                <w:rFonts w:hint="eastAsia" w:eastAsia="宋体"/>
                <w:lang w:val="en-US" w:eastAsia="zh-CN"/>
              </w:rPr>
            </w:pPr>
            <w:r>
              <w:rPr>
                <w:rFonts w:hint="eastAsia" w:ascii="宋体" w:cs="宋体"/>
                <w:sz w:val="20"/>
                <w:lang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pPr>
              <w:jc w:val="right"/>
              <w:rPr>
                <w:rFonts w:hint="default" w:ascii="宋体" w:eastAsia="宋体" w:cs="宋体"/>
                <w:sz w:val="20"/>
                <w:lang w:val="en-US" w:eastAsia="zh-CN"/>
              </w:rPr>
            </w:pPr>
            <w:r>
              <w:rPr>
                <w:rFonts w:hint="eastAsia" w:ascii="宋体" w:cs="宋体"/>
                <w:sz w:val="20"/>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pPr>
              <w:jc w:val="right"/>
              <w:rPr>
                <w:rFonts w:ascii="宋体" w:cs="宋体"/>
                <w:sz w:val="20"/>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pPr>
              <w:jc w:val="center"/>
              <w:rPr>
                <w:rFonts w:ascii="宋体" w:cs="宋体"/>
                <w:sz w:val="20"/>
              </w:rPr>
            </w:pPr>
          </w:p>
        </w:tc>
        <w:tc>
          <w:tcPr>
            <w:tcW w:w="3349" w:type="dxa"/>
            <w:gridSpan w:val="2"/>
            <w:tcBorders>
              <w:tl2br w:val="nil"/>
              <w:tr2bl w:val="nil"/>
            </w:tcBorders>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pPr>
              <w:jc w:val="right"/>
              <w:rPr>
                <w:rFonts w:ascii="宋体" w:cs="宋体"/>
                <w:sz w:val="20"/>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pPr>
              <w:widowControl/>
              <w:jc w:val="both"/>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全年各款项顺利支出</w:t>
            </w:r>
            <w:r>
              <w:rPr>
                <w:rFonts w:hint="eastAsia" w:ascii="宋体" w:hAnsi="宋体" w:eastAsia="宋体" w:cs="宋体"/>
                <w:color w:val="000000"/>
                <w:kern w:val="0"/>
                <w:sz w:val="20"/>
                <w:szCs w:val="20"/>
                <w:lang w:eastAsia="zh-CN"/>
              </w:rPr>
              <w:t>，保障市城建档案馆正常运行。</w:t>
            </w:r>
          </w:p>
          <w:p>
            <w:pPr>
              <w:jc w:val="lef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noWrap w:val="0"/>
            <w:vAlign w:val="center"/>
          </w:tcPr>
          <w:p>
            <w:pPr>
              <w:widowControl/>
              <w:jc w:val="left"/>
              <w:textAlignment w:val="center"/>
              <w:rPr>
                <w:rFonts w:ascii="宋体" w:cs="宋体"/>
                <w:sz w:val="20"/>
                <w:szCs w:val="20"/>
              </w:rPr>
            </w:pPr>
            <w:r>
              <w:rPr>
                <w:sz w:val="20"/>
                <w:szCs w:val="20"/>
              </w:rPr>
              <w:t>全年支出</w:t>
            </w:r>
          </w:p>
        </w:tc>
        <w:tc>
          <w:tcPr>
            <w:tcW w:w="4228" w:type="dxa"/>
            <w:gridSpan w:val="2"/>
            <w:tcBorders>
              <w:tl2br w:val="nil"/>
              <w:tr2bl w:val="nil"/>
            </w:tcBorders>
            <w:noWrap w:val="0"/>
            <w:vAlign w:val="center"/>
          </w:tcPr>
          <w:p>
            <w:pPr>
              <w:jc w:val="left"/>
              <w:rPr>
                <w:rFonts w:hint="eastAsia" w:ascii="宋体" w:eastAsia="宋体" w:cs="宋体"/>
                <w:sz w:val="20"/>
                <w:szCs w:val="20"/>
                <w:lang w:val="en-US" w:eastAsia="zh-CN"/>
              </w:rPr>
            </w:pPr>
            <w:r>
              <w:rPr>
                <w:sz w:val="20"/>
                <w:szCs w:val="20"/>
              </w:rPr>
              <w:t>≤</w:t>
            </w:r>
            <w:r>
              <w:rPr>
                <w:rFonts w:hint="eastAsia" w:asciiTheme="minorHAnsi" w:eastAsiaTheme="minorEastAsia"/>
                <w:sz w:val="20"/>
                <w:szCs w:val="20"/>
                <w:lang w:val="en-US" w:eastAsia="zh-CN"/>
              </w:rPr>
              <w:t>5</w:t>
            </w:r>
            <w:r>
              <w:rPr>
                <w:rFonts w:hint="eastAsia" w:eastAsiaTheme="minorEastAsia"/>
                <w:sz w:val="20"/>
                <w:szCs w:val="20"/>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pPr>
              <w:rPr>
                <w:rFonts w:ascii="宋体" w:cs="宋体"/>
                <w:sz w:val="20"/>
                <w:szCs w:val="20"/>
              </w:rPr>
            </w:pPr>
            <w:r>
              <w:rPr>
                <w:sz w:val="20"/>
                <w:szCs w:val="20"/>
              </w:rPr>
              <w:t>支出合规率</w:t>
            </w:r>
          </w:p>
        </w:tc>
        <w:tc>
          <w:tcPr>
            <w:tcW w:w="4228" w:type="dxa"/>
            <w:gridSpan w:val="2"/>
            <w:tcBorders>
              <w:tl2br w:val="nil"/>
              <w:tr2bl w:val="nil"/>
            </w:tcBorders>
            <w:noWrap w:val="0"/>
            <w:vAlign w:val="center"/>
          </w:tcPr>
          <w:p>
            <w:pPr>
              <w:jc w:val="left"/>
              <w:rPr>
                <w:rFonts w:ascii="宋体" w:cs="宋体"/>
                <w:sz w:val="20"/>
                <w:szCs w:val="20"/>
              </w:rPr>
            </w:pPr>
            <w:r>
              <w:rPr>
                <w:rFonts w:hint="eastAsia" w:asciiTheme="minorHAnsi" w:eastAsiaTheme="minorEastAsia"/>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pPr>
              <w:rPr>
                <w:rFonts w:ascii="宋体" w:cs="宋体"/>
                <w:sz w:val="20"/>
                <w:szCs w:val="20"/>
              </w:rPr>
            </w:pPr>
            <w:r>
              <w:rPr>
                <w:sz w:val="20"/>
                <w:szCs w:val="20"/>
              </w:rPr>
              <w:t>支付及时率</w:t>
            </w:r>
          </w:p>
        </w:tc>
        <w:tc>
          <w:tcPr>
            <w:tcW w:w="4228" w:type="dxa"/>
            <w:gridSpan w:val="2"/>
            <w:tcBorders>
              <w:tl2br w:val="nil"/>
              <w:tr2bl w:val="nil"/>
            </w:tcBorders>
            <w:noWrap w:val="0"/>
            <w:vAlign w:val="center"/>
          </w:tcPr>
          <w:p>
            <w:pPr>
              <w:jc w:val="left"/>
              <w:rPr>
                <w:rFonts w:hint="eastAsia" w:ascii="宋体" w:eastAsia="宋体" w:cs="宋体"/>
                <w:sz w:val="20"/>
                <w:szCs w:val="20"/>
                <w:lang w:eastAsia="zh-CN"/>
              </w:rPr>
            </w:pPr>
            <w:r>
              <w:rPr>
                <w:rFonts w:hint="eastAsia" w:asciiTheme="minorHAnsi" w:eastAsiaTheme="minorEastAsia"/>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pPr>
              <w:rPr>
                <w:rFonts w:ascii="宋体" w:cs="宋体"/>
                <w:sz w:val="20"/>
                <w:szCs w:val="20"/>
              </w:rPr>
            </w:pPr>
            <w:r>
              <w:rPr>
                <w:sz w:val="20"/>
                <w:szCs w:val="20"/>
              </w:rPr>
              <w:t>项目单项成本</w:t>
            </w:r>
          </w:p>
        </w:tc>
        <w:tc>
          <w:tcPr>
            <w:tcW w:w="4228" w:type="dxa"/>
            <w:gridSpan w:val="2"/>
            <w:tcBorders>
              <w:tl2br w:val="nil"/>
              <w:tr2bl w:val="nil"/>
            </w:tcBorders>
            <w:noWrap w:val="0"/>
            <w:vAlign w:val="center"/>
          </w:tcPr>
          <w:p>
            <w:pPr>
              <w:jc w:val="left"/>
              <w:rPr>
                <w:rFonts w:ascii="宋体" w:cs="宋体"/>
                <w:sz w:val="20"/>
                <w:szCs w:val="20"/>
              </w:rPr>
            </w:pPr>
            <w:r>
              <w:rPr>
                <w:sz w:val="20"/>
                <w:szCs w:val="20"/>
              </w:rPr>
              <w:t>小于等于核定支出标准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restart"/>
            <w:tcBorders>
              <w:tl2br w:val="nil"/>
              <w:tr2bl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pPr>
              <w:rPr>
                <w:rFonts w:hint="eastAsia" w:ascii="宋体" w:eastAsia="宋体" w:cs="宋体"/>
                <w:sz w:val="20"/>
                <w:szCs w:val="20"/>
                <w:lang w:eastAsia="zh-CN"/>
              </w:rPr>
            </w:pPr>
            <w:r>
              <w:rPr>
                <w:rFonts w:hint="eastAsia"/>
                <w:sz w:val="20"/>
                <w:szCs w:val="20"/>
              </w:rPr>
              <w:t>经济效益</w:t>
            </w:r>
          </w:p>
        </w:tc>
        <w:tc>
          <w:tcPr>
            <w:tcW w:w="4228" w:type="dxa"/>
            <w:gridSpan w:val="2"/>
            <w:tcBorders>
              <w:tl2br w:val="nil"/>
              <w:tr2bl w:val="nil"/>
            </w:tcBorders>
            <w:noWrap w:val="0"/>
            <w:vAlign w:val="center"/>
          </w:tcPr>
          <w:p>
            <w:pPr>
              <w:jc w:val="left"/>
              <w:rPr>
                <w:rFonts w:hint="eastAsia" w:ascii="宋体" w:eastAsia="宋体" w:cs="宋体"/>
                <w:sz w:val="20"/>
                <w:szCs w:val="20"/>
                <w:lang w:eastAsia="zh-CN"/>
              </w:rPr>
            </w:pPr>
            <w:r>
              <w:rPr>
                <w:sz w:val="20"/>
                <w:szCs w:val="20"/>
              </w:rPr>
              <w:t>高效支撑单位完成各项工作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pPr>
              <w:rPr>
                <w:rFonts w:ascii="宋体" w:cs="宋体"/>
                <w:sz w:val="20"/>
                <w:szCs w:val="20"/>
              </w:rPr>
            </w:pPr>
            <w:r>
              <w:rPr>
                <w:sz w:val="20"/>
                <w:szCs w:val="20"/>
              </w:rPr>
              <w:t>保障机构支出运转重要性</w:t>
            </w:r>
          </w:p>
        </w:tc>
        <w:tc>
          <w:tcPr>
            <w:tcW w:w="4228" w:type="dxa"/>
            <w:gridSpan w:val="2"/>
            <w:tcBorders>
              <w:tl2br w:val="nil"/>
              <w:tr2bl w:val="nil"/>
            </w:tcBorders>
            <w:noWrap w:val="0"/>
            <w:vAlign w:val="center"/>
          </w:tcPr>
          <w:p>
            <w:pPr>
              <w:jc w:val="left"/>
              <w:rPr>
                <w:rFonts w:ascii="宋体" w:cs="宋体"/>
                <w:sz w:val="20"/>
                <w:szCs w:val="20"/>
              </w:rPr>
            </w:pPr>
            <w:r>
              <w:rPr>
                <w:sz w:val="20"/>
                <w:szCs w:val="20"/>
              </w:rPr>
              <w:t>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pPr>
              <w:rPr>
                <w:rFonts w:ascii="宋体" w:cs="宋体"/>
                <w:sz w:val="20"/>
                <w:szCs w:val="20"/>
              </w:rPr>
            </w:pPr>
            <w:r>
              <w:rPr>
                <w:rFonts w:hint="eastAsia"/>
                <w:sz w:val="20"/>
                <w:szCs w:val="20"/>
              </w:rPr>
              <w:t>生态效益</w:t>
            </w:r>
          </w:p>
        </w:tc>
        <w:tc>
          <w:tcPr>
            <w:tcW w:w="4228" w:type="dxa"/>
            <w:gridSpan w:val="2"/>
            <w:tcBorders>
              <w:tl2br w:val="nil"/>
              <w:tr2bl w:val="nil"/>
            </w:tcBorders>
            <w:noWrap w:val="0"/>
            <w:vAlign w:val="center"/>
          </w:tcPr>
          <w:p>
            <w:pPr>
              <w:jc w:val="left"/>
              <w:rPr>
                <w:rFonts w:ascii="宋体" w:cs="宋体"/>
                <w:sz w:val="20"/>
                <w:szCs w:val="20"/>
              </w:rPr>
            </w:pPr>
            <w:r>
              <w:rPr>
                <w:sz w:val="20"/>
                <w:szCs w:val="20"/>
              </w:rPr>
              <w:t>节约用水、用电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vMerge w:val="continue"/>
            <w:tcBorders>
              <w:tl2br w:val="nil"/>
              <w:tr2bl w:val="nil"/>
            </w:tcBorders>
            <w:noWrap w:val="0"/>
            <w:vAlign w:val="center"/>
          </w:tcPr>
          <w:p>
            <w:pPr>
              <w:jc w:val="center"/>
              <w:rPr>
                <w:rFonts w:ascii="宋体" w:cs="宋体"/>
                <w:sz w:val="20"/>
              </w:rPr>
            </w:pP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pPr>
              <w:rPr>
                <w:rFonts w:hint="eastAsia" w:ascii="宋体" w:hAnsi="宋体" w:eastAsia="宋体" w:cs="宋体"/>
                <w:sz w:val="20"/>
                <w:szCs w:val="20"/>
              </w:rPr>
            </w:pPr>
            <w:r>
              <w:rPr>
                <w:rFonts w:hint="eastAsia"/>
                <w:sz w:val="20"/>
                <w:szCs w:val="20"/>
              </w:rPr>
              <w:t>可持续影响</w:t>
            </w:r>
          </w:p>
        </w:tc>
        <w:tc>
          <w:tcPr>
            <w:tcW w:w="4228" w:type="dxa"/>
            <w:gridSpan w:val="2"/>
            <w:tcBorders>
              <w:tl2br w:val="nil"/>
              <w:tr2bl w:val="nil"/>
            </w:tcBorders>
            <w:noWrap w:val="0"/>
            <w:vAlign w:val="center"/>
          </w:tcPr>
          <w:p>
            <w:pPr>
              <w:jc w:val="left"/>
              <w:rPr>
                <w:rFonts w:ascii="宋体" w:cs="宋体"/>
                <w:sz w:val="20"/>
                <w:szCs w:val="20"/>
              </w:rPr>
            </w:pPr>
            <w:r>
              <w:rPr>
                <w:sz w:val="20"/>
                <w:szCs w:val="20"/>
              </w:rPr>
              <w:t>保障全年工作正常运行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38" w:type="dxa"/>
            <w:vMerge w:val="continue"/>
            <w:tcBorders>
              <w:tl2br w:val="nil"/>
              <w:tr2bl w:val="nil"/>
            </w:tcBorders>
            <w:noWrap w:val="0"/>
            <w:vAlign w:val="center"/>
          </w:tcPr>
          <w:p>
            <w:pPr>
              <w:jc w:val="center"/>
              <w:rPr>
                <w:rFonts w:ascii="宋体" w:cs="宋体"/>
                <w:sz w:val="20"/>
              </w:rPr>
            </w:pPr>
          </w:p>
        </w:tc>
        <w:tc>
          <w:tcPr>
            <w:tcW w:w="723" w:type="dxa"/>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pPr>
              <w:rPr>
                <w:rFonts w:hint="eastAsia" w:ascii="宋体" w:hAnsi="宋体" w:eastAsia="宋体" w:cs="宋体"/>
                <w:sz w:val="20"/>
                <w:szCs w:val="20"/>
              </w:rPr>
            </w:pPr>
            <w:r>
              <w:rPr>
                <w:rFonts w:hint="eastAsia" w:eastAsiaTheme="minorEastAsia"/>
                <w:sz w:val="20"/>
                <w:szCs w:val="20"/>
                <w:lang w:eastAsia="zh-CN"/>
              </w:rPr>
              <w:t>服务对象</w:t>
            </w:r>
            <w:r>
              <w:rPr>
                <w:rFonts w:hint="eastAsia"/>
                <w:sz w:val="20"/>
                <w:szCs w:val="20"/>
              </w:rPr>
              <w:t>满意度</w:t>
            </w:r>
          </w:p>
        </w:tc>
        <w:tc>
          <w:tcPr>
            <w:tcW w:w="4228" w:type="dxa"/>
            <w:gridSpan w:val="2"/>
            <w:tcBorders>
              <w:tl2br w:val="nil"/>
              <w:tr2bl w:val="nil"/>
            </w:tcBorders>
            <w:noWrap w:val="0"/>
            <w:vAlign w:val="center"/>
          </w:tcPr>
          <w:p>
            <w:pPr>
              <w:jc w:val="left"/>
              <w:rPr>
                <w:rFonts w:hint="eastAsia" w:ascii="宋体" w:cs="宋体" w:eastAsiaTheme="minorEastAsia"/>
                <w:sz w:val="20"/>
                <w:szCs w:val="20"/>
                <w:lang w:val="en" w:eastAsia="zh-CN"/>
              </w:rPr>
            </w:pPr>
            <w:r>
              <w:rPr>
                <w:rFonts w:hint="default" w:ascii="Arial" w:hAnsi="Arial" w:cs="Arial"/>
                <w:sz w:val="20"/>
                <w:szCs w:val="20"/>
              </w:rPr>
              <w:t>≥</w:t>
            </w:r>
            <w:r>
              <w:rPr>
                <w:rFonts w:hint="default" w:ascii="Arial"/>
                <w:sz w:val="20"/>
                <w:szCs w:val="20"/>
                <w:lang w:val="en"/>
              </w:rPr>
              <w:t>90</w:t>
            </w:r>
            <w:r>
              <w:rPr>
                <w:rFonts w:hint="eastAsia" w:ascii="Arial"/>
                <w:sz w:val="20"/>
                <w:szCs w:val="20"/>
                <w:lang w:val="en" w:eastAsia="zh-CN"/>
              </w:rPr>
              <w:t>％</w:t>
            </w:r>
          </w:p>
        </w:tc>
      </w:tr>
    </w:tbl>
    <w:p>
      <w:pPr>
        <w:ind w:firstLine="640" w:firstLineChars="200"/>
        <w:rPr>
          <w:rFonts w:ascii="TimesNewRoman" w:hAnsi="TimesNewRoman" w:eastAsia="仿宋_GB2312" w:cs="TimesNewRoman"/>
          <w:kern w:val="0"/>
          <w:sz w:val="32"/>
          <w:szCs w:val="32"/>
        </w:rPr>
      </w:pP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城市建设档案馆</w:t>
      </w:r>
      <w:r>
        <w:rPr>
          <w:rFonts w:hint="eastAsia" w:ascii="TimesNewRoman" w:hAnsi="TimesNewRoman" w:eastAsia="仿宋_GB2312" w:cs="TimesNewRoman"/>
          <w:kern w:val="0"/>
          <w:sz w:val="32"/>
          <w:szCs w:val="32"/>
        </w:rPr>
        <w:t>为非参照公务员法管理的事业单位，按照部门预算机关运行经费口径，202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年无机关运行经费财政拨款预算。</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淮北市城市建设档案馆2025年政府采购预算0.2万元。其中：政府采购货物预算0.2万元</w:t>
      </w:r>
      <w:r>
        <w:rPr>
          <w:rFonts w:hint="eastAsia" w:ascii="TimesNewRoman" w:hAnsi="TimesNewRoman" w:eastAsia="仿宋_GB2312" w:cs="TimesNewRoman"/>
          <w:kern w:val="0"/>
          <w:sz w:val="32"/>
          <w:szCs w:val="32"/>
          <w:highlight w:val="none"/>
          <w:lang w:val="en-US" w:eastAsia="zh-CN"/>
        </w:rPr>
        <w:t>，政府采购工程预算0万元，政府采购服务预算0万元。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年12月31日，淮北市</w:t>
      </w:r>
      <w:r>
        <w:rPr>
          <w:rFonts w:hint="eastAsia" w:ascii="TimesNewRoman" w:hAnsi="TimesNewRoman" w:eastAsia="仿宋_GB2312" w:cs="TimesNewRoman"/>
          <w:kern w:val="0"/>
          <w:sz w:val="32"/>
          <w:szCs w:val="32"/>
          <w:lang w:eastAsia="zh-CN"/>
        </w:rPr>
        <w:t>城市建设档案馆</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辆，其中：其他用车</w:t>
      </w:r>
      <w:r>
        <w:rPr>
          <w:rFonts w:hint="eastAsia" w:ascii="TimesNewRoman" w:hAnsi="TimesNewRoman" w:eastAsia="仿宋_GB2312" w:cs="TimesNewRoman"/>
          <w:kern w:val="0"/>
          <w:sz w:val="32"/>
          <w:szCs w:val="32"/>
          <w:lang w:val="en-US" w:eastAsia="zh-CN"/>
        </w:rPr>
        <w:t>1</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eastAsia="zh-CN"/>
        </w:rPr>
        <w:t>单位</w:t>
      </w:r>
      <w:r>
        <w:rPr>
          <w:rFonts w:hint="eastAsia" w:ascii="TimesNewRoman" w:hAnsi="TimesNewRoman" w:eastAsia="仿宋_GB2312" w:cs="TimesNewRoman"/>
          <w:kern w:val="0"/>
          <w:sz w:val="32"/>
          <w:szCs w:val="32"/>
        </w:rPr>
        <w:t>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2025年，淮北市</w:t>
      </w:r>
      <w:r>
        <w:rPr>
          <w:rFonts w:hint="eastAsia" w:ascii="TimesNewRoman" w:hAnsi="TimesNewRoman" w:eastAsia="仿宋_GB2312" w:cs="TimesNewRoman"/>
          <w:kern w:val="0"/>
          <w:sz w:val="32"/>
          <w:szCs w:val="32"/>
          <w:lang w:val="en-US" w:eastAsia="zh-CN"/>
        </w:rPr>
        <w:t>城市建设档案馆2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42</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NewRoman">
    <w:altName w:val="DejaVu Sans"/>
    <w:panose1 w:val="00000000000000000000"/>
    <w:charset w:val="00"/>
    <w:family w:val="auto"/>
    <w:pitch w:val="default"/>
    <w:sig w:usb0="00000000" w:usb1="00000000" w:usb2="00000029" w:usb3="00000000" w:csb0="600001FF" w:csb1="FFFF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E28EE"/>
    <w:rsid w:val="00267E33"/>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174D031D"/>
    <w:rsid w:val="257617C2"/>
    <w:rsid w:val="25DE6BA3"/>
    <w:rsid w:val="71CF4FF2"/>
    <w:rsid w:val="7739311B"/>
    <w:rsid w:val="7D04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spacing w:line="360" w:lineRule="auto"/>
      <w:ind w:firstLine="420"/>
      <w:jc w:val="both"/>
    </w:pPr>
    <w:rPr>
      <w:rFonts w:eastAsia="宋体" w:asciiTheme="minorHAnsi" w:hAnsiTheme="minorHAnsi" w:cstheme="minorBidi"/>
      <w:kern w:val="2"/>
      <w:sz w:val="24"/>
      <w:szCs w:val="22"/>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5491</Words>
  <Characters>6155</Characters>
  <Lines>48</Lines>
  <Paragraphs>13</Paragraphs>
  <TotalTime>10</TotalTime>
  <ScaleCrop>false</ScaleCrop>
  <LinksUpToDate>false</LinksUpToDate>
  <CharactersWithSpaces>6328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user</cp:lastModifiedBy>
  <dcterms:modified xsi:type="dcterms:W3CDTF">2025-02-24T10:15:53Z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eyJoZGlkIjoiMTYyNzk1NjU3N2Q1MDUyM2ZjM2FjZjhlNjIxMTA1NmQiLCJ1c2VySWQiOiIzMTY1Mzk0NTYifQ==</vt:lpwstr>
  </property>
  <property fmtid="{D5CDD505-2E9C-101B-9397-08002B2CF9AE}" pid="3" name="KSOProductBuildVer">
    <vt:lpwstr>2052-11.8.2.9849</vt:lpwstr>
  </property>
  <property fmtid="{D5CDD505-2E9C-101B-9397-08002B2CF9AE}" pid="4" name="ICV">
    <vt:lpwstr>45ED41FC04A242D581604EA71D10EB58_13</vt:lpwstr>
  </property>
</Properties>
</file>