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3B212">
      <w:pPr>
        <w:pStyle w:val="2"/>
        <w:widowControl/>
        <w:shd w:val="clear" w:color="auto" w:fill="FFFFFF"/>
        <w:spacing w:beforeAutospacing="0" w:afterAutospacing="0" w:line="240" w:lineRule="atLeast"/>
        <w:jc w:val="center"/>
        <w:rPr>
          <w:rFonts w:hint="default" w:cs="微软雅黑" w:asciiTheme="minorEastAsia" w:hAnsiTheme="minorEastAsia" w:eastAsiaTheme="minorEastAsia"/>
          <w:color w:val="333333"/>
        </w:rPr>
      </w:pPr>
      <w:r>
        <w:rPr>
          <w:rFonts w:cs="微软雅黑" w:asciiTheme="minorEastAsia" w:hAnsiTheme="minorEastAsia" w:eastAsiaTheme="minorEastAsia"/>
          <w:color w:val="333333"/>
          <w:shd w:val="clear" w:color="auto" w:fill="FFFFFF"/>
        </w:rPr>
        <w:t>淮北市住房和城乡建设局2020年政府信息公开工作年度报告</w:t>
      </w:r>
    </w:p>
    <w:p w14:paraId="5ACC209D">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p>
    <w:p w14:paraId="6F3DC8B1">
      <w:pPr>
        <w:pStyle w:val="6"/>
        <w:widowControl/>
        <w:shd w:val="clear" w:color="auto" w:fill="FFFFFF"/>
        <w:spacing w:beforeAutospacing="0" w:afterAutospacing="0" w:line="240" w:lineRule="atLeast"/>
        <w:ind w:firstLine="420"/>
        <w:jc w:val="both"/>
        <w:rPr>
          <w:rFonts w:ascii="宋体" w:hAnsi="宋体" w:eastAsia="宋体" w:cs="宋体"/>
          <w:color w:val="333333"/>
          <w:sz w:val="21"/>
          <w:szCs w:val="21"/>
        </w:rPr>
      </w:pPr>
      <w:r>
        <w:rPr>
          <w:rFonts w:hint="eastAsia" w:ascii="宋体" w:hAnsi="宋体" w:eastAsia="宋体" w:cs="宋体"/>
          <w:color w:val="333333"/>
          <w:shd w:val="clear" w:color="auto" w:fill="FFFFFF"/>
        </w:rPr>
        <w:t>本报告是根据《中华人民共和国政府信息公开条例》（以下简称《条例》）要求，由淮北市住房和城乡建设局编制。全文由政府信息公开总体情况、主动公开政府信息情况、收到和处理政府信息公开申请情况、政府信息公开行政复议和行政诉讼情况、存在主要问题和改进情况、其它需要报告等六部分组成。本报告中所列数据的统计期限自2020年1月1日起至2020年12月31日止。如有疑问，请与淮北市住房和城乡建设局办公室联系。（地址：淮北市相山区相山路4号，邮编：235000，电话:0561-3023643）</w:t>
      </w:r>
      <w:r>
        <w:rPr>
          <w:rFonts w:hint="eastAsia" w:ascii="宋体" w:hAnsi="宋体" w:eastAsia="宋体" w:cs="宋体"/>
          <w:color w:val="333333"/>
          <w:sz w:val="21"/>
          <w:szCs w:val="21"/>
          <w:shd w:val="clear" w:color="auto" w:fill="FFFFFF"/>
        </w:rPr>
        <w:t> </w:t>
      </w:r>
    </w:p>
    <w:p w14:paraId="6BA0A5DF">
      <w:pPr>
        <w:pStyle w:val="6"/>
        <w:widowControl/>
        <w:shd w:val="clear" w:color="auto" w:fill="FFFFFF"/>
        <w:spacing w:beforeAutospacing="0" w:afterAutospacing="0" w:line="240" w:lineRule="atLeast"/>
        <w:ind w:firstLine="420"/>
        <w:jc w:val="both"/>
        <w:rPr>
          <w:rFonts w:ascii="黑体" w:hAnsi="黑体" w:eastAsia="黑体" w:cs="宋体"/>
          <w:b/>
          <w:color w:val="333333"/>
          <w:sz w:val="30"/>
          <w:szCs w:val="30"/>
          <w:shd w:val="clear" w:color="auto" w:fill="FFFFFF"/>
        </w:rPr>
      </w:pPr>
      <w:r>
        <w:rPr>
          <w:rFonts w:hint="eastAsia" w:ascii="黑体" w:hAnsi="黑体" w:eastAsia="黑体" w:cs="宋体"/>
          <w:b/>
          <w:color w:val="333333"/>
          <w:sz w:val="30"/>
          <w:szCs w:val="30"/>
          <w:shd w:val="clear" w:color="auto" w:fill="FFFFFF"/>
        </w:rPr>
        <w:t>一、总体情况</w:t>
      </w:r>
    </w:p>
    <w:p w14:paraId="6AC2BF4D">
      <w:pPr>
        <w:pStyle w:val="6"/>
        <w:widowControl/>
        <w:shd w:val="clear" w:color="auto" w:fill="FFFFFF"/>
        <w:spacing w:beforeAutospacing="0" w:afterAutospacing="0" w:line="240" w:lineRule="atLeast"/>
        <w:ind w:firstLine="600" w:firstLineChars="250"/>
        <w:jc w:val="both"/>
        <w:rPr>
          <w:rFonts w:ascii="宋体" w:hAnsi="宋体" w:eastAsia="宋体" w:cs="宋体"/>
          <w:color w:val="333333"/>
          <w:shd w:val="clear" w:color="auto" w:fill="FFFFFF"/>
        </w:rPr>
      </w:pPr>
      <w:r>
        <w:rPr>
          <w:rFonts w:ascii="宋体" w:hAnsi="宋体" w:eastAsia="宋体" w:cs="宋体"/>
          <w:color w:val="333333"/>
          <w:shd w:val="clear" w:color="auto" w:fill="FFFFFF"/>
        </w:rPr>
        <w:t>2020年</w:t>
      </w:r>
      <w:r>
        <w:rPr>
          <w:rFonts w:hint="eastAsia" w:ascii="宋体" w:hAnsi="宋体" w:eastAsia="宋体" w:cs="宋体"/>
          <w:color w:val="333333"/>
          <w:shd w:val="clear" w:color="auto" w:fill="FFFFFF"/>
        </w:rPr>
        <w:t>度</w:t>
      </w:r>
      <w:r>
        <w:rPr>
          <w:rFonts w:ascii="宋体" w:hAnsi="宋体" w:eastAsia="宋体" w:cs="宋体"/>
          <w:color w:val="333333"/>
          <w:shd w:val="clear" w:color="auto" w:fill="FFFFFF"/>
        </w:rPr>
        <w:t>，我局对本年度公开的政府信息进行了认真的梳理和编目，截至12月31日，新增主动公开政府信息761条，累计主动公开政府信息达6169条。其中包括：政策法规27条，重大决策预公开12条，规划计划5条，决策部署落实情况9条，建议提案办理26条，机构领导26条，机构设置34条，财政资金17条，应急管理24条，精准脱贫13条，权责清单和动态调整情况22条，公共服务清单和中介服务14条，行政权力运行37条，“双随机</w:t>
      </w:r>
      <w:r>
        <w:rPr>
          <w:rFonts w:hint="eastAsia" w:ascii="宋体" w:hAnsi="宋体" w:eastAsia="宋体" w:cs="宋体"/>
          <w:color w:val="333333"/>
          <w:shd w:val="clear" w:color="auto" w:fill="FFFFFF"/>
          <w:lang w:eastAsia="zh-CN"/>
        </w:rPr>
        <w:t>、</w:t>
      </w:r>
      <w:bookmarkStart w:id="0" w:name="_GoBack"/>
      <w:bookmarkEnd w:id="0"/>
      <w:r>
        <w:rPr>
          <w:rFonts w:ascii="宋体" w:hAnsi="宋体" w:eastAsia="宋体" w:cs="宋体"/>
          <w:color w:val="333333"/>
          <w:shd w:val="clear" w:color="auto" w:fill="FFFFFF"/>
        </w:rPr>
        <w:t>一公开”6条，招标采购73条，重点领域信息公开304条，新闻发布10条，政策解读21条，回应关切27条，监督保障25条，</w:t>
      </w:r>
      <w:r>
        <w:rPr>
          <w:rFonts w:hint="eastAsia" w:ascii="宋体" w:hAnsi="宋体" w:eastAsia="宋体" w:cs="宋体"/>
          <w:color w:val="333333"/>
          <w:shd w:val="clear" w:color="auto" w:fill="FFFFFF"/>
        </w:rPr>
        <w:t>“六稳”“六保”</w:t>
      </w:r>
      <w:r>
        <w:rPr>
          <w:rFonts w:ascii="宋体" w:hAnsi="宋体" w:eastAsia="宋体" w:cs="宋体"/>
          <w:color w:val="333333"/>
          <w:shd w:val="clear" w:color="auto" w:fill="FFFFFF"/>
        </w:rPr>
        <w:t>15条。</w:t>
      </w:r>
    </w:p>
    <w:p w14:paraId="53E1774B">
      <w:pPr>
        <w:pStyle w:val="6"/>
        <w:widowControl/>
        <w:shd w:val="clear" w:color="auto" w:fill="FFFFFF"/>
        <w:spacing w:beforeAutospacing="0" w:afterAutospacing="0" w:line="240" w:lineRule="atLeast"/>
        <w:ind w:firstLine="420"/>
        <w:jc w:val="center"/>
        <w:rPr>
          <w:rFonts w:ascii="宋体" w:hAnsi="宋体" w:eastAsia="宋体" w:cs="宋体"/>
          <w:color w:val="333333"/>
          <w:shd w:val="clear" w:color="auto" w:fill="FFFFFF"/>
        </w:rPr>
      </w:pPr>
      <w:r>
        <w:rPr>
          <w:rFonts w:hint="eastAsia" w:ascii="宋体" w:hAnsi="宋体" w:eastAsia="宋体" w:cs="宋体"/>
          <w:color w:val="333333"/>
          <w:shd w:val="clear" w:color="auto" w:fill="FFFFFF"/>
        </w:rPr>
        <w:drawing>
          <wp:inline distT="0" distB="0" distL="0" distR="0">
            <wp:extent cx="4115435" cy="3630930"/>
            <wp:effectExtent l="0" t="0" r="18415" b="7620"/>
            <wp:docPr id="7" name="图片 6" descr="O2`QM2]UZW$4U_TB@OC44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O2`QM2]UZW$4U_TB@OC44CF.png"/>
                    <pic:cNvPicPr>
                      <a:picLocks noChangeAspect="1"/>
                    </pic:cNvPicPr>
                  </pic:nvPicPr>
                  <pic:blipFill>
                    <a:blip r:embed="rId4" cstate="print"/>
                    <a:stretch>
                      <a:fillRect/>
                    </a:stretch>
                  </pic:blipFill>
                  <pic:spPr>
                    <a:xfrm>
                      <a:off x="0" y="0"/>
                      <a:ext cx="4115435" cy="3630930"/>
                    </a:xfrm>
                    <a:prstGeom prst="rect">
                      <a:avLst/>
                    </a:prstGeom>
                  </pic:spPr>
                </pic:pic>
              </a:graphicData>
            </a:graphic>
          </wp:inline>
        </w:drawing>
      </w:r>
    </w:p>
    <w:p w14:paraId="03B5E370">
      <w:pPr>
        <w:pStyle w:val="6"/>
        <w:widowControl/>
        <w:shd w:val="clear" w:color="auto" w:fill="FFFFFF"/>
        <w:spacing w:beforeAutospacing="0" w:afterAutospacing="0" w:line="240" w:lineRule="atLeast"/>
        <w:ind w:firstLine="420"/>
        <w:jc w:val="both"/>
        <w:rPr>
          <w:rFonts w:ascii="黑体" w:hAnsi="黑体" w:eastAsia="黑体" w:cs="宋体"/>
          <w:b/>
          <w:color w:val="333333"/>
          <w:sz w:val="28"/>
          <w:szCs w:val="28"/>
          <w:shd w:val="clear" w:color="auto" w:fill="FFFFFF"/>
        </w:rPr>
      </w:pPr>
      <w:r>
        <w:rPr>
          <w:rFonts w:hint="eastAsia" w:ascii="黑体" w:hAnsi="黑体" w:eastAsia="黑体" w:cs="宋体"/>
          <w:b/>
          <w:color w:val="333333"/>
          <w:sz w:val="28"/>
          <w:szCs w:val="28"/>
          <w:shd w:val="clear" w:color="auto" w:fill="FFFFFF"/>
        </w:rPr>
        <w:t>（一）主动公开情况</w:t>
      </w:r>
    </w:p>
    <w:p w14:paraId="3719B772">
      <w:pPr>
        <w:pStyle w:val="6"/>
        <w:widowControl/>
        <w:shd w:val="clear" w:color="auto" w:fill="FFFFFF"/>
        <w:spacing w:beforeAutospacing="0" w:afterAutospacing="0" w:line="240" w:lineRule="atLeast"/>
        <w:ind w:firstLine="600" w:firstLineChars="250"/>
        <w:jc w:val="both"/>
        <w:rPr>
          <w:rFonts w:ascii="宋体" w:hAnsi="宋体" w:eastAsia="宋体" w:cs="宋体"/>
          <w:color w:val="333333"/>
          <w:sz w:val="21"/>
          <w:szCs w:val="21"/>
          <w:shd w:val="clear" w:color="auto" w:fill="FFFFFF"/>
        </w:rPr>
      </w:pPr>
      <w:r>
        <w:rPr>
          <w:rFonts w:hint="eastAsia" w:ascii="宋体" w:hAnsi="宋体" w:eastAsia="宋体" w:cs="宋体"/>
          <w:color w:val="333333"/>
          <w:shd w:val="clear" w:color="auto" w:fill="FFFFFF"/>
        </w:rPr>
        <w:t>1</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加强用权公开。在信息发布过程中，我局围绕年度政务公开重点工作安排，制定《关于印发</w:t>
      </w:r>
      <w:r>
        <w:rPr>
          <w:rFonts w:ascii="宋体" w:hAnsi="宋体" w:eastAsia="宋体" w:cs="宋体"/>
          <w:color w:val="333333"/>
          <w:shd w:val="clear" w:color="auto" w:fill="FFFFFF"/>
        </w:rPr>
        <w:t>&lt;</w:t>
      </w:r>
      <w:r>
        <w:rPr>
          <w:rFonts w:hint="eastAsia" w:ascii="宋体" w:hAnsi="宋体" w:eastAsia="宋体" w:cs="宋体"/>
          <w:color w:val="333333"/>
          <w:shd w:val="clear" w:color="auto" w:fill="FFFFFF"/>
        </w:rPr>
        <w:t>淮北市住房和城乡建设局2020年政务公开重点工作任务分工</w:t>
      </w:r>
      <w:r>
        <w:rPr>
          <w:rFonts w:ascii="宋体" w:hAnsi="宋体" w:eastAsia="宋体" w:cs="宋体"/>
          <w:color w:val="333333"/>
          <w:shd w:val="clear" w:color="auto" w:fill="FFFFFF"/>
        </w:rPr>
        <w:t>&gt;</w:t>
      </w:r>
      <w:r>
        <w:rPr>
          <w:rFonts w:hint="eastAsia" w:ascii="宋体" w:hAnsi="宋体" w:eastAsia="宋体" w:cs="宋体"/>
          <w:color w:val="333333"/>
          <w:shd w:val="clear" w:color="auto" w:fill="FFFFFF"/>
        </w:rPr>
        <w:t>的通知》（淮住建〔2020〕176号）加强权力配置信息，完善机构简介要素，主动公开单位职能和依据的三定方案的文号，主要职责、二级机构设置、负责人姓名、办公地址、办公时间、联系方式等信息。在重大行政决策预公开方面，注重公众参与，积极主动在信息公开网和门户网站向社会公众进行意见征集，并实现征集与反馈的关联性，今年就《淮北市关于进一步推进装配式建筑发展的实施细则》和《关于引进人才加快东部新城建设实施意见（试行）》两篇政策文件向社会公众进行意见征集，且确保了征集时间超过30天，充分听取和采纳社会公众对相关重大政策和决策的意见，保障公众的知情权、参与权、表达权、监督权，促进民主决策、科学决策。</w:t>
      </w:r>
    </w:p>
    <w:p w14:paraId="3E2C8144">
      <w:pPr>
        <w:pStyle w:val="6"/>
        <w:widowControl/>
        <w:shd w:val="clear" w:color="auto" w:fill="FFFFFF"/>
        <w:spacing w:beforeAutospacing="0" w:afterAutospacing="0" w:line="240" w:lineRule="atLeast"/>
        <w:ind w:firstLine="480" w:firstLineChars="20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2</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提高政策解读质量。进一步提高政策解读质量，进一步完善政策解读材料审核把关机制，提升内容质量，确保解读材料中的决策背景和依据、制定意义和总体考虑、研判和起草过程、主要内容(包括工作目标、主要任务、创新举措)、保障措施等要素完整，不断丰富改进解读形式，减少简单枯燥的文字陈列，多采用图片、数据、图表等易看易懂的工具，不断提高政策可读性和知晓度。</w:t>
      </w:r>
    </w:p>
    <w:p w14:paraId="7AE961E6">
      <w:pPr>
        <w:pStyle w:val="6"/>
        <w:widowControl/>
        <w:shd w:val="clear" w:color="auto" w:fill="FFFFFF"/>
        <w:spacing w:beforeAutospacing="0" w:afterAutospacing="0" w:line="240" w:lineRule="atLeast"/>
        <w:jc w:val="both"/>
        <w:rPr>
          <w:rFonts w:ascii="宋体" w:hAnsi="宋体" w:eastAsia="宋体" w:cs="宋体"/>
          <w:color w:val="333333"/>
          <w:shd w:val="clear" w:color="auto" w:fill="FFFFFF"/>
        </w:rPr>
      </w:pPr>
    </w:p>
    <w:p w14:paraId="2A65D003">
      <w:pPr>
        <w:pStyle w:val="6"/>
        <w:widowControl/>
        <w:shd w:val="clear" w:color="auto" w:fill="FFFFFF"/>
        <w:spacing w:beforeAutospacing="0" w:afterAutospacing="0" w:line="240" w:lineRule="atLeast"/>
        <w:ind w:firstLine="480" w:firstLineChars="20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3</w:t>
      </w:r>
      <w:r>
        <w:rPr>
          <w:rFonts w:hint="eastAsia" w:ascii="宋体" w:hAnsi="宋体" w:eastAsia="宋体" w:cs="宋体"/>
          <w:color w:val="333333"/>
          <w:shd w:val="clear" w:color="auto" w:fill="FFFFFF"/>
          <w:lang w:val="en-US" w:eastAsia="zh-CN"/>
        </w:rPr>
        <w:t>.</w:t>
      </w:r>
      <w:r>
        <w:rPr>
          <w:rFonts w:hint="eastAsia" w:ascii="宋体" w:hAnsi="宋体" w:eastAsia="宋体" w:cs="宋体"/>
          <w:color w:val="333333"/>
          <w:shd w:val="clear" w:color="auto" w:fill="FFFFFF"/>
        </w:rPr>
        <w:t>积极回应民生关切。应用政风行风热线、市长信箱、市长热线、12319建设服务热线等渠道，加强与百姓之间的互动交流，回答广大群众关心的热点问题。通过召开新闻发布会、转载新闻媒体报道等多种形式围绕市场主体和人民群众关注的重点进行主动回应，努力实现信息的及时性、有效性。截至目前，接到市长热线工单2177件，办件2177件，接到市长信箱来信97件、办件97件，12319建设服务热线共处理各类投诉咨询来电1160件，办结率100%。百姓关注的城乡建设、住房保障、园林绿化、市政设施、供水供气等方面的问题或建议，得到了及时有效的解决。在应急管理栏目注重“疫情防控不减压，常态化公开”，科普疫情防控的知识。</w:t>
      </w:r>
    </w:p>
    <w:p w14:paraId="2236E0A8">
      <w:pPr>
        <w:pStyle w:val="6"/>
        <w:widowControl/>
        <w:shd w:val="clear" w:color="auto" w:fill="FFFFFF"/>
        <w:spacing w:beforeAutospacing="0" w:afterAutospacing="0" w:line="240" w:lineRule="atLeast"/>
        <w:ind w:firstLine="480" w:firstLineChars="20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4.关注民生领域信息发布。贯彻落实《安徽省政务公开办公室&lt;关于开展政务公开“六提六促”专项行动的通知&gt;》（皖政务办〔2020〕4号）、《淮北市政务公开办公室&lt;关于开展政务公开“六提六促”专项行动的通知&gt;》等文件精神，要求各相关单位扎实做好新冠肺炎疫情防控常态化信息公开，积极宣传防控知识，多渠道、多形式公开统筹疫情防控和经济社会发展、有序推进复工复产方面的相关政策及举措。做好“六稳”工作，落实“六保”任务的各项政策措施，扩大政策透明度和知晓面，提高政策宣传效果，发挥政府信息公开的社会效益。积极推进棚户区改造、保障性住房建设、老旧小区改造、国有土地上房屋征收与补偿管理、农村危房改造、重大建设项目、房地产市场监管等民生工程及重点领域信息公开。通过多种形式和渠道主动回应社会热点问题，释放更多积极信号。</w:t>
      </w:r>
    </w:p>
    <w:p w14:paraId="7377B5BC">
      <w:pPr>
        <w:pStyle w:val="6"/>
        <w:widowControl/>
        <w:shd w:val="clear" w:color="auto" w:fill="FFFFFF"/>
        <w:spacing w:beforeAutospacing="0" w:afterAutospacing="0" w:line="240" w:lineRule="atLeast"/>
        <w:ind w:firstLine="480" w:firstLineChars="200"/>
        <w:jc w:val="both"/>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5.2020年市住建局进一步深化“放管服”改革，全面开展工程建设项目审批制度改革，市住建局高规格推进各项改革任务落实，狠抓工程建设项目审批“四统一”建设，贯彻落实工程建设项目审批制度实施全流程、全覆盖的改革要求。</w:t>
      </w:r>
    </w:p>
    <w:p w14:paraId="30AADF22">
      <w:pPr>
        <w:pStyle w:val="6"/>
        <w:widowControl/>
        <w:shd w:val="clear" w:color="auto" w:fill="FFFFFF"/>
        <w:spacing w:beforeAutospacing="0" w:afterAutospacing="0" w:line="240" w:lineRule="atLeast"/>
        <w:ind w:firstLine="480" w:firstLineChars="200"/>
        <w:jc w:val="both"/>
        <w:rPr>
          <w:rFonts w:hint="default" w:ascii="宋体" w:hAnsi="宋体" w:eastAsia="宋体" w:cs="宋体"/>
          <w:color w:val="333333"/>
          <w:shd w:val="clear" w:color="auto" w:fill="FFFFFF"/>
          <w:lang w:val="en-US" w:eastAsia="zh-CN"/>
        </w:rPr>
      </w:pPr>
      <w:r>
        <w:rPr>
          <w:rFonts w:hint="eastAsia" w:ascii="宋体" w:hAnsi="宋体" w:eastAsia="宋体" w:cs="宋体"/>
          <w:color w:val="333333"/>
          <w:shd w:val="clear" w:color="auto" w:fill="FFFFFF"/>
          <w:lang w:val="en-US" w:eastAsia="zh-CN"/>
        </w:rPr>
        <w:t>6.本年度对我局现有的规范性文件进行了全面梳理，梳理结果包括已失效的0件，现行有效的54件，均已对外公开。</w:t>
      </w:r>
    </w:p>
    <w:p w14:paraId="553E75B4">
      <w:pPr>
        <w:pStyle w:val="6"/>
        <w:widowControl/>
        <w:shd w:val="clear" w:color="auto" w:fill="FFFFFF"/>
        <w:spacing w:beforeAutospacing="0" w:afterAutospacing="0" w:line="240" w:lineRule="atLeast"/>
        <w:ind w:firstLine="420"/>
        <w:jc w:val="both"/>
        <w:rPr>
          <w:rFonts w:ascii="黑体" w:hAnsi="黑体" w:eastAsia="黑体" w:cs="宋体"/>
          <w:b/>
          <w:color w:val="333333"/>
          <w:sz w:val="28"/>
          <w:szCs w:val="28"/>
          <w:shd w:val="clear" w:color="auto" w:fill="FFFFFF"/>
        </w:rPr>
      </w:pPr>
      <w:r>
        <w:rPr>
          <w:rFonts w:hint="eastAsia" w:ascii="黑体" w:hAnsi="黑体" w:eastAsia="黑体" w:cs="宋体"/>
          <w:b/>
          <w:color w:val="333333"/>
          <w:sz w:val="28"/>
          <w:szCs w:val="28"/>
          <w:shd w:val="clear" w:color="auto" w:fill="FFFFFF"/>
        </w:rPr>
        <w:t>（二）依申请公开情况</w:t>
      </w:r>
    </w:p>
    <w:p w14:paraId="6DD5F883">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按照政府信息依申请工作要求，建立我局政府信息依申请公开工作流程，明确责任岗位和人员，做到准确领会、及时回复，加强督查。积极配合市政府做好依申请公开办理工作，面对社会关切的有关问题，做好部门联动，统一规范，协同答复。2020年，我局共接到依申请公开办件14件，已在规定时间内按要求全部办结。</w:t>
      </w:r>
    </w:p>
    <w:p w14:paraId="6459EEF9">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从申请方式来看，当面申请3件，网络申请2件，信函申请9件。</w:t>
      </w:r>
    </w:p>
    <w:p w14:paraId="2EFBB916">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从答复的形式来看，答复“予以公开”为4件，约占全部办件的29 %；答复“本机关不掌握相关政府信息”为9件，约占全部办件的64%；答复“其他”为 1件，约占全部办件的7%。</w:t>
      </w:r>
    </w:p>
    <w:p w14:paraId="1E6D8886">
      <w:pPr>
        <w:pStyle w:val="6"/>
        <w:widowControl/>
        <w:shd w:val="clear" w:color="auto" w:fill="FFFFFF"/>
        <w:spacing w:beforeAutospacing="0" w:afterAutospacing="0" w:line="240" w:lineRule="atLeast"/>
        <w:ind w:firstLine="420"/>
        <w:jc w:val="both"/>
        <w:rPr>
          <w:rFonts w:ascii="黑体" w:hAnsi="黑体" w:eastAsia="黑体" w:cs="宋体"/>
          <w:b/>
          <w:color w:val="333333"/>
          <w:sz w:val="28"/>
          <w:szCs w:val="28"/>
          <w:shd w:val="clear" w:color="auto" w:fill="FFFFFF"/>
        </w:rPr>
      </w:pPr>
      <w:r>
        <w:rPr>
          <w:rFonts w:hint="eastAsia" w:ascii="黑体" w:hAnsi="黑体" w:eastAsia="黑体" w:cs="宋体"/>
          <w:b/>
          <w:color w:val="333333"/>
          <w:sz w:val="28"/>
          <w:szCs w:val="28"/>
          <w:shd w:val="clear" w:color="auto" w:fill="FFFFFF"/>
        </w:rPr>
        <w:t>（三）政府信息管理情况</w:t>
      </w:r>
    </w:p>
    <w:p w14:paraId="10C1FD05">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我局贯彻落实《中华人民共和国政府信息公开条例》，健全政府信息管理动态调整机制。确保公开信息与数据的全面、真实、准确、及时，保障人民群众的知情权和监督权；加强对政府信息公开人员的培训力度，主动积极的参与政务公开工作的培训会；使重点内容与职能科室一一对应，确保信息上传零失误；增加政府信息公开的经费投入，通过与第三方的合作，加大对信息公开的监测，从而更好的服务于人民群众。</w:t>
      </w:r>
    </w:p>
    <w:p w14:paraId="0A4D4062">
      <w:pPr>
        <w:pStyle w:val="6"/>
        <w:widowControl/>
        <w:shd w:val="clear" w:color="auto" w:fill="FFFFFF"/>
        <w:spacing w:beforeAutospacing="0" w:afterAutospacing="0" w:line="240" w:lineRule="atLeast"/>
        <w:ind w:firstLine="420"/>
        <w:jc w:val="both"/>
        <w:rPr>
          <w:rFonts w:ascii="黑体" w:hAnsi="黑体" w:eastAsia="黑体" w:cs="宋体"/>
          <w:b/>
          <w:color w:val="333333"/>
          <w:sz w:val="28"/>
          <w:szCs w:val="28"/>
          <w:shd w:val="clear" w:color="auto" w:fill="FFFFFF"/>
        </w:rPr>
      </w:pPr>
      <w:r>
        <w:rPr>
          <w:rFonts w:hint="eastAsia" w:ascii="黑体" w:hAnsi="黑体" w:eastAsia="黑体" w:cs="宋体"/>
          <w:b/>
          <w:color w:val="333333"/>
          <w:sz w:val="28"/>
          <w:szCs w:val="28"/>
          <w:shd w:val="clear" w:color="auto" w:fill="FFFFFF"/>
        </w:rPr>
        <w:t>（四）信息公开平台建设情况</w:t>
      </w:r>
    </w:p>
    <w:p w14:paraId="5DCB4B67">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重点做好政策发布和政策解读信息公开，主动发布人民群众关注的热点问题。健全主动公开制度，对应当让社会公众广泛知晓的事项，按照规定的程序，做到及时、主动地公开；健全依申请公开制度，规范依申请公开目录和依申公开流程，拓宽公开渠道，方便群众申请查阅公开信息，确保公开规范、有序、真实、全面；健全重大决策公开制度，增强公共政策制定透明度和公众参与度。我局通过政府信息公开网、门户网站以及政务新媒体，多管齐下加大宣传，其中2020年度淮北住建微信公众号发布信息300余条、新浪微博淮北住建在线发布信息200余条，及时回复网民各类留言50余条。</w:t>
      </w:r>
    </w:p>
    <w:p w14:paraId="3F2F10F9">
      <w:pPr>
        <w:pStyle w:val="6"/>
        <w:widowControl/>
        <w:shd w:val="clear" w:color="auto" w:fill="FFFFFF"/>
        <w:spacing w:beforeAutospacing="0" w:afterAutospacing="0" w:line="240" w:lineRule="atLeast"/>
        <w:ind w:firstLine="420"/>
        <w:jc w:val="both"/>
        <w:rPr>
          <w:rFonts w:ascii="黑体" w:hAnsi="黑体" w:eastAsia="黑体" w:cs="宋体"/>
          <w:b/>
          <w:color w:val="333333"/>
          <w:sz w:val="28"/>
          <w:szCs w:val="28"/>
          <w:shd w:val="clear" w:color="auto" w:fill="FFFFFF"/>
        </w:rPr>
      </w:pPr>
      <w:r>
        <w:rPr>
          <w:rFonts w:hint="eastAsia" w:ascii="黑体" w:hAnsi="黑体" w:eastAsia="黑体" w:cs="宋体"/>
          <w:b/>
          <w:color w:val="333333"/>
          <w:sz w:val="28"/>
          <w:szCs w:val="28"/>
          <w:shd w:val="clear" w:color="auto" w:fill="FFFFFF"/>
        </w:rPr>
        <w:t>（五）监督保障​工作情况</w:t>
      </w:r>
    </w:p>
    <w:p w14:paraId="384649AC">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1、将政务公开工作纳入年度绩效考核当中，分值不低于4%，建立健全政府信息公开工作考核制度，定期对政府信息公开工作进行考核。</w:t>
      </w:r>
    </w:p>
    <w:p w14:paraId="43EF9AF2">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2、完善社会评议制度和责任追究制度，欢迎群众对政府信息公开工作进行评议监督，强化责任追究，保障人民群众的监督权。</w:t>
      </w:r>
    </w:p>
    <w:p w14:paraId="3F2801D9">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3、2020年，我局未发生因不履行政务公开义务而发生的责任追究情况。</w:t>
      </w:r>
    </w:p>
    <w:p w14:paraId="5ABF005D">
      <w:pPr>
        <w:pStyle w:val="6"/>
        <w:widowControl/>
        <w:numPr>
          <w:ilvl w:val="0"/>
          <w:numId w:val="1"/>
        </w:numPr>
        <w:shd w:val="clear" w:color="auto" w:fill="FFFFFF"/>
        <w:spacing w:beforeAutospacing="0" w:afterAutospacing="0" w:line="240" w:lineRule="atLeast"/>
        <w:ind w:firstLine="420"/>
        <w:jc w:val="both"/>
        <w:rPr>
          <w:rFonts w:ascii="黑体" w:hAnsi="黑体" w:eastAsia="黑体" w:cs="宋体"/>
          <w:b/>
          <w:color w:val="333333"/>
          <w:sz w:val="30"/>
          <w:szCs w:val="30"/>
          <w:shd w:val="clear" w:color="auto" w:fill="FFFFFF"/>
        </w:rPr>
      </w:pPr>
      <w:r>
        <w:rPr>
          <w:rFonts w:hint="eastAsia" w:ascii="黑体" w:hAnsi="黑体" w:eastAsia="黑体" w:cs="宋体"/>
          <w:b/>
          <w:color w:val="333333"/>
          <w:sz w:val="30"/>
          <w:szCs w:val="30"/>
          <w:shd w:val="clear" w:color="auto" w:fill="FFFFFF"/>
        </w:rPr>
        <w:t>主动公开政府信息情况</w:t>
      </w:r>
    </w:p>
    <w:tbl>
      <w:tblPr>
        <w:tblStyle w:val="7"/>
        <w:tblW w:w="8140" w:type="dxa"/>
        <w:jc w:val="center"/>
        <w:tblLayout w:type="autofit"/>
        <w:tblCellMar>
          <w:top w:w="0" w:type="dxa"/>
          <w:left w:w="0" w:type="dxa"/>
          <w:bottom w:w="0" w:type="dxa"/>
          <w:right w:w="0" w:type="dxa"/>
        </w:tblCellMar>
      </w:tblPr>
      <w:tblGrid>
        <w:gridCol w:w="3113"/>
        <w:gridCol w:w="1875"/>
        <w:gridCol w:w="6"/>
        <w:gridCol w:w="1265"/>
        <w:gridCol w:w="1881"/>
      </w:tblGrid>
      <w:tr w14:paraId="652EF39B">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827AD47">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第二十条第（一）项</w:t>
            </w:r>
          </w:p>
        </w:tc>
      </w:tr>
      <w:tr w14:paraId="603F380D">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D60DE1">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F0106AF">
            <w:pPr>
              <w:widowControl/>
              <w:jc w:val="center"/>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本年新</w:t>
            </w:r>
          </w:p>
          <w:p w14:paraId="568DA36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8535DE">
            <w:pPr>
              <w:widowControl/>
              <w:jc w:val="center"/>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本年新</w:t>
            </w:r>
          </w:p>
          <w:p w14:paraId="6FB3381E">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E5D567C">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对外公开总数量</w:t>
            </w:r>
          </w:p>
        </w:tc>
      </w:tr>
      <w:tr w14:paraId="72B1D9E1">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BB0C1E">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E5DE5B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F3780B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DA1501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14:paraId="32B5AB14">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982EC3">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1999FE">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1</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15BCB12">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EE46A5">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54</w:t>
            </w:r>
          </w:p>
        </w:tc>
      </w:tr>
      <w:tr w14:paraId="67D4072B">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8B333F6">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第二十条第（五）项</w:t>
            </w:r>
          </w:p>
        </w:tc>
      </w:tr>
      <w:tr w14:paraId="28805348">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41C37D5">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47F4956">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E584B6">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AC97815">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处理决定数量</w:t>
            </w:r>
          </w:p>
        </w:tc>
      </w:tr>
      <w:tr w14:paraId="01638049">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B3AD9E">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02A26E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593D5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3E7571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659</w:t>
            </w:r>
          </w:p>
        </w:tc>
      </w:tr>
      <w:tr w14:paraId="06D85D29">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0D40252">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F658BB5">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57631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B5DC5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3670</w:t>
            </w:r>
          </w:p>
        </w:tc>
      </w:tr>
      <w:tr w14:paraId="180680F7">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5344C48">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第二十条第（六）项</w:t>
            </w:r>
          </w:p>
        </w:tc>
      </w:tr>
      <w:tr w14:paraId="577E8609">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E5C7AD">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78A3E22">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857D02">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4F1676">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处理决定数量</w:t>
            </w:r>
          </w:p>
        </w:tc>
      </w:tr>
      <w:tr w14:paraId="0C73648B">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053FDB">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37F6FF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591DCE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539C035">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14:paraId="1837033C">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073C1D">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37CD0F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0F9E6AC">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10854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14:paraId="6631688A">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855B1D3">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第二十条第（八）项</w:t>
            </w:r>
          </w:p>
        </w:tc>
      </w:tr>
      <w:tr w14:paraId="4FEBACC4">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380611">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596E581">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1CA74F2C">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r>
      <w:tr w14:paraId="4D06CB6C">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CF06E7">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AF3FEA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3641603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14:paraId="6A876119">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075718A">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第二十条第（九）项</w:t>
            </w:r>
          </w:p>
        </w:tc>
      </w:tr>
      <w:tr w14:paraId="32BC71EE">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BE501D">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DDB1139">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050C67BA">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采购总金额</w:t>
            </w:r>
          </w:p>
        </w:tc>
      </w:tr>
      <w:tr w14:paraId="3657678B">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878B78">
            <w:pPr>
              <w:widowControl/>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1DB718A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40DDCD5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395.72万元</w:t>
            </w:r>
          </w:p>
        </w:tc>
      </w:tr>
    </w:tbl>
    <w:p w14:paraId="38441A8A">
      <w:pPr>
        <w:pStyle w:val="6"/>
        <w:widowControl/>
        <w:shd w:val="clear" w:color="auto" w:fill="FFFFFF"/>
        <w:spacing w:beforeAutospacing="0" w:afterAutospacing="0" w:line="240" w:lineRule="atLeast"/>
        <w:jc w:val="both"/>
        <w:rPr>
          <w:rFonts w:ascii="黑体" w:hAnsi="黑体" w:eastAsia="黑体" w:cs="宋体"/>
          <w:b/>
          <w:color w:val="333333"/>
          <w:sz w:val="30"/>
          <w:szCs w:val="30"/>
          <w:shd w:val="clear" w:color="auto" w:fill="FFFFFF"/>
        </w:rPr>
      </w:pPr>
    </w:p>
    <w:p w14:paraId="77D53BBF">
      <w:pPr>
        <w:pStyle w:val="6"/>
        <w:widowControl/>
        <w:numPr>
          <w:ilvl w:val="0"/>
          <w:numId w:val="1"/>
        </w:numPr>
        <w:shd w:val="clear" w:color="auto" w:fill="FFFFFF"/>
        <w:spacing w:beforeAutospacing="0" w:afterAutospacing="0" w:line="240" w:lineRule="atLeast"/>
        <w:ind w:firstLine="420"/>
        <w:jc w:val="both"/>
        <w:rPr>
          <w:rFonts w:ascii="黑体" w:hAnsi="黑体" w:eastAsia="黑体" w:cs="宋体"/>
          <w:b/>
          <w:color w:val="333333"/>
          <w:sz w:val="30"/>
          <w:szCs w:val="30"/>
          <w:shd w:val="clear" w:color="auto" w:fill="FFFFFF"/>
        </w:rPr>
      </w:pPr>
      <w:r>
        <w:rPr>
          <w:rFonts w:hint="eastAsia" w:ascii="黑体" w:hAnsi="黑体" w:eastAsia="黑体" w:cs="宋体"/>
          <w:b/>
          <w:color w:val="333333"/>
          <w:sz w:val="30"/>
          <w:szCs w:val="30"/>
          <w:shd w:val="clear" w:color="auto" w:fill="FFFFFF"/>
        </w:rPr>
        <w:t>收到和处理政府信息公开申请情况</w:t>
      </w:r>
    </w:p>
    <w:tbl>
      <w:tblPr>
        <w:tblStyle w:val="7"/>
        <w:tblW w:w="9071" w:type="dxa"/>
        <w:jc w:val="center"/>
        <w:tblLayout w:type="autofit"/>
        <w:tblCellMar>
          <w:top w:w="0" w:type="dxa"/>
          <w:left w:w="0" w:type="dxa"/>
          <w:bottom w:w="0" w:type="dxa"/>
          <w:right w:w="0" w:type="dxa"/>
        </w:tblCellMar>
      </w:tblPr>
      <w:tblGrid>
        <w:gridCol w:w="856"/>
        <w:gridCol w:w="1176"/>
        <w:gridCol w:w="1850"/>
        <w:gridCol w:w="761"/>
        <w:gridCol w:w="715"/>
        <w:gridCol w:w="715"/>
        <w:gridCol w:w="762"/>
        <w:gridCol w:w="890"/>
        <w:gridCol w:w="680"/>
        <w:gridCol w:w="666"/>
      </w:tblGrid>
      <w:tr w14:paraId="04DB0710">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4C9E8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D1635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申请人情况</w:t>
            </w:r>
          </w:p>
        </w:tc>
      </w:tr>
      <w:tr w14:paraId="1E220CB4">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338EFD21">
            <w:pPr>
              <w:widowControl/>
              <w:jc w:val="left"/>
              <w:rPr>
                <w:rFonts w:ascii="仿宋_GB2312" w:hAnsi="宋体" w:eastAsia="仿宋_GB2312" w:cs="宋体"/>
                <w:kern w:val="0"/>
                <w:sz w:val="32"/>
                <w:szCs w:val="32"/>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9A94F0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6F94D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A04B6D">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总计</w:t>
            </w:r>
          </w:p>
        </w:tc>
      </w:tr>
      <w:tr w14:paraId="683390B6">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14:paraId="619182CC">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41E95387">
            <w:pPr>
              <w:widowControl/>
              <w:jc w:val="left"/>
              <w:rPr>
                <w:rFonts w:ascii="仿宋_GB2312" w:hAnsi="宋体" w:eastAsia="仿宋_GB2312" w:cs="宋体"/>
                <w:kern w:val="0"/>
                <w:sz w:val="32"/>
                <w:szCs w:val="32"/>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ABBA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45658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518BE4">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3E413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02039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其他</w:t>
            </w:r>
          </w:p>
        </w:tc>
        <w:tc>
          <w:tcPr>
            <w:tcW w:w="0" w:type="auto"/>
            <w:vMerge w:val="continue"/>
            <w:tcBorders>
              <w:top w:val="single" w:color="auto" w:sz="8" w:space="0"/>
              <w:left w:val="nil"/>
              <w:bottom w:val="single" w:color="auto" w:sz="8" w:space="0"/>
              <w:right w:val="single" w:color="auto" w:sz="8" w:space="0"/>
            </w:tcBorders>
            <w:vAlign w:val="center"/>
          </w:tcPr>
          <w:p w14:paraId="243AB47B">
            <w:pPr>
              <w:widowControl/>
              <w:jc w:val="left"/>
              <w:rPr>
                <w:rFonts w:ascii="仿宋_GB2312" w:hAnsi="宋体" w:eastAsia="仿宋_GB2312" w:cs="宋体"/>
                <w:kern w:val="0"/>
                <w:sz w:val="32"/>
                <w:szCs w:val="32"/>
              </w:rPr>
            </w:pPr>
          </w:p>
        </w:tc>
      </w:tr>
      <w:tr w14:paraId="15F02964">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EE1061">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78B7A1">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14</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B301FF">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447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34B1A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B8273">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36577">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4973A676">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r>
      <w:tr w14:paraId="182E9A00">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3835C3">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5FD2B8">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43DBD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DCB4E5">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2F8510">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7604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25B7AC">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8550F">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6AACDCAD">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2C024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57803FD">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07541F">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3FCAC6">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55C87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6697F">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6D835B">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3C4D7">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997186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r>
      <w:tr w14:paraId="12E1177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A0F1674">
            <w:pPr>
              <w:widowControl/>
              <w:jc w:val="left"/>
              <w:rPr>
                <w:rFonts w:ascii="仿宋_GB2312" w:hAnsi="宋体" w:eastAsia="仿宋_GB2312" w:cs="宋体"/>
                <w:kern w:val="0"/>
                <w:sz w:val="32"/>
                <w:szCs w:val="32"/>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F1AF5C3">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434F6">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C644B1">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8B43A">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6388D6">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69BAE">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D54B18">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93F960D">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r w14:paraId="092507D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7C3CF8C">
            <w:pPr>
              <w:widowControl/>
              <w:jc w:val="left"/>
              <w:rPr>
                <w:rFonts w:ascii="仿宋_GB2312" w:hAnsi="宋体" w:eastAsia="仿宋_GB2312"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3B25BC9">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130B9F">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7A833D">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0ACEFD">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DD5F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2ADB0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EDA551">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5C8EC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DB849E">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273CE4B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D3C2B73">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64EF9583">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523E77">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DDB0E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8E99D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598C9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494BC4">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394C8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7440C">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599ED5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0D67BB7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2D4A157">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4017593A">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48999C">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A884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FC1E0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7BE90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16553D">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EB6FB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4BA0A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2D18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137C3DF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BC98DE2">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15974644">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35114B">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7986B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40660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1FE3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AE07E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9AFE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425ED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9A34EF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54AFB75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F972B7A">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457E9A2">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CFE2EE">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39A15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1E7D5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BFAA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3C6D3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96620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8F2EB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5022837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0692DCA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36B3780">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00BA4C8A">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4B6F05">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9AB9EC">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C8C4A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0B6600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CAA9C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9AC84D">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D001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58024A0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71DA8D3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760CF86">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24C6FC2F">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166E3C">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05A27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C8384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2CCD5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77AC0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C935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E14ED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29E2D7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7277C25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9557396">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46CE3D8">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3BC1A">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FA998C">
            <w:pPr>
              <w:widowControl/>
              <w:jc w:val="center"/>
              <w:rPr>
                <w:rFonts w:hint="default" w:ascii="仿宋_GB2312" w:hAnsi="宋体" w:eastAsia="仿宋_GB2312" w:cs="宋体"/>
                <w:kern w:val="0"/>
                <w:sz w:val="32"/>
                <w:szCs w:val="32"/>
                <w:lang w:val="en-US"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77A9D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E0B9E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0CF1E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65563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0940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94A1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1D6401B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06E2B54">
            <w:pPr>
              <w:widowControl/>
              <w:jc w:val="left"/>
              <w:rPr>
                <w:rFonts w:ascii="仿宋_GB2312" w:hAnsi="宋体" w:eastAsia="仿宋_GB2312"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497F710">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65FF79">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03904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9</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128C4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A00B3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BECD2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D01B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21E3A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E9F6F36">
            <w:pPr>
              <w:widowControl/>
              <w:jc w:val="center"/>
              <w:rPr>
                <w:rFonts w:ascii="仿宋_GB2312" w:hAnsi="宋体" w:eastAsia="仿宋_GB2312" w:cs="宋体"/>
                <w:kern w:val="0"/>
                <w:sz w:val="32"/>
                <w:szCs w:val="32"/>
              </w:rPr>
            </w:pPr>
            <w:r>
              <w:rPr>
                <w:rFonts w:hint="eastAsia" w:ascii="仿宋_GB2312" w:hAnsi="Calibri" w:eastAsia="仿宋_GB2312" w:cs="Calibri"/>
                <w:kern w:val="0"/>
                <w:sz w:val="32"/>
                <w:szCs w:val="32"/>
              </w:rPr>
              <w:t>9</w:t>
            </w:r>
          </w:p>
        </w:tc>
      </w:tr>
      <w:tr w14:paraId="646B0E9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AB232DA">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70DBF628">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66699A">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3597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D1501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EDBEB0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5CEAF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AACA1">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DCCCA3">
            <w:pPr>
              <w:widowControl/>
              <w:jc w:val="center"/>
              <w:rPr>
                <w:rFonts w:ascii="仿宋_GB2312" w:hAnsi="宋体" w:eastAsia="仿宋_GB2312" w:cs="宋体"/>
                <w:kern w:val="0"/>
                <w:sz w:val="32"/>
                <w:szCs w:val="32"/>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896F67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74278A2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9C0D7D3">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2CA9145D">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74720">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E82A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4626D8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5A084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8EE78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202BF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840D0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5B1F35D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4238A49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B8CB200">
            <w:pPr>
              <w:widowControl/>
              <w:jc w:val="left"/>
              <w:rPr>
                <w:rFonts w:ascii="仿宋_GB2312" w:hAnsi="宋体" w:eastAsia="仿宋_GB2312"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162AC1F">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671065">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525D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67558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18A4F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629B4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446E4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F76EC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7A8953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77D3C3E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97898D1">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1CDFDCFC">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FEAEA">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524DAC">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39B94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CA73C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35FCE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7C519E">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FE4FC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416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3397B79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5381C5F">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0960D01A">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32EBE">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4F487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EFAB5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323D24">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16794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01905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F0D2F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4ED7D9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1AD3372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0FFAE82">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17ABD283">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5DBBC">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3A48E7">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68574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4525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C1689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F8F784">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E19EB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95483F7">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lang w:val="en-US" w:eastAsia="zh-CN"/>
              </w:rPr>
              <w:t>0</w:t>
            </w:r>
          </w:p>
        </w:tc>
      </w:tr>
      <w:tr w14:paraId="5D03481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FA10009">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1488B545">
            <w:pPr>
              <w:widowControl/>
              <w:jc w:val="left"/>
              <w:rPr>
                <w:rFonts w:ascii="仿宋_GB2312" w:hAnsi="宋体" w:eastAsia="仿宋_GB2312"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908247">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6F804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CF3C6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1886C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F5533D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F217D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A3BFF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F15038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r>
      <w:tr w14:paraId="3A996F1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C4F2C5F">
            <w:pPr>
              <w:widowControl/>
              <w:jc w:val="left"/>
              <w:rPr>
                <w:rFonts w:ascii="仿宋_GB2312" w:hAnsi="宋体" w:eastAsia="仿宋_GB2312" w:cs="宋体"/>
                <w:kern w:val="0"/>
                <w:sz w:val="32"/>
                <w:szCs w:val="32"/>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E11F7DD">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2BACA53">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9A1D27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C2EBF">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01B18">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FEA29B">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FA7A5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5DE7AF5">
            <w:pPr>
              <w:widowControl/>
              <w:jc w:val="center"/>
              <w:rPr>
                <w:rFonts w:ascii="仿宋_GB2312" w:hAnsi="宋体" w:eastAsia="仿宋_GB2312" w:cs="宋体"/>
                <w:kern w:val="0"/>
                <w:sz w:val="32"/>
                <w:szCs w:val="32"/>
              </w:rPr>
            </w:pPr>
            <w:r>
              <w:rPr>
                <w:rFonts w:hint="eastAsia" w:ascii="仿宋_GB2312" w:hAnsi="Calibri" w:eastAsia="仿宋_GB2312" w:cs="Calibri"/>
                <w:kern w:val="0"/>
                <w:sz w:val="32"/>
                <w:szCs w:val="32"/>
              </w:rPr>
              <w:t>1</w:t>
            </w:r>
          </w:p>
        </w:tc>
      </w:tr>
      <w:tr w14:paraId="59B870A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3228368">
            <w:pPr>
              <w:widowControl/>
              <w:jc w:val="left"/>
              <w:rPr>
                <w:rFonts w:ascii="仿宋_GB2312" w:hAnsi="宋体" w:eastAsia="仿宋_GB2312" w:cs="宋体"/>
                <w:kern w:val="0"/>
                <w:sz w:val="32"/>
                <w:szCs w:val="32"/>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17DA3A0">
            <w:pPr>
              <w:widowControl/>
              <w:jc w:val="left"/>
              <w:rPr>
                <w:rFonts w:ascii="仿宋_GB2312" w:hAnsi="宋体" w:eastAsia="仿宋_GB2312" w:cs="宋体"/>
                <w:kern w:val="0"/>
                <w:sz w:val="32"/>
                <w:szCs w:val="32"/>
              </w:rPr>
            </w:pPr>
            <w:r>
              <w:rPr>
                <w:rFonts w:hint="eastAsia" w:ascii="仿宋_GB2312" w:hAnsi="楷体" w:eastAsia="仿宋_GB2312" w:cs="宋体"/>
                <w:kern w:val="0"/>
                <w:sz w:val="32"/>
                <w:szCs w:val="32"/>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3A5BA3">
            <w:pPr>
              <w:widowControl/>
              <w:jc w:val="center"/>
              <w:rPr>
                <w:rFonts w:hint="default" w:ascii="仿宋_GB2312" w:hAnsi="宋体" w:eastAsia="仿宋_GB2312" w:cs="宋体"/>
                <w:kern w:val="0"/>
                <w:sz w:val="32"/>
                <w:szCs w:val="32"/>
                <w:lang w:val="en-US" w:eastAsia="zh-CN"/>
              </w:rPr>
            </w:pPr>
            <w:r>
              <w:rPr>
                <w:rFonts w:hint="eastAsia" w:ascii="仿宋_GB2312" w:hAnsi="Calibri" w:eastAsia="仿宋_GB2312" w:cs="Calibri"/>
                <w:kern w:val="0"/>
                <w:sz w:val="32"/>
                <w:szCs w:val="32"/>
                <w:lang w:val="en-US" w:eastAsia="zh-CN"/>
              </w:rPr>
              <w:t>14</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2C9A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53516C">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79467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5CA2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1B455A">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6206AF5">
            <w:pPr>
              <w:widowControl/>
              <w:jc w:val="center"/>
              <w:rPr>
                <w:rFonts w:ascii="仿宋_GB2312" w:hAnsi="宋体" w:eastAsia="仿宋_GB2312" w:cs="宋体"/>
                <w:kern w:val="0"/>
                <w:sz w:val="32"/>
                <w:szCs w:val="32"/>
              </w:rPr>
            </w:pPr>
            <w:r>
              <w:rPr>
                <w:rFonts w:hint="eastAsia" w:ascii="仿宋_GB2312" w:hAnsi="Calibri" w:eastAsia="仿宋_GB2312" w:cs="Calibri"/>
                <w:kern w:val="0"/>
                <w:sz w:val="32"/>
                <w:szCs w:val="32"/>
              </w:rPr>
              <w:t>14</w:t>
            </w:r>
          </w:p>
        </w:tc>
      </w:tr>
      <w:tr w14:paraId="64F2E20F">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C42875">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BDE1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42D8E0">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22A395">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3E6121">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EE1CF">
            <w:pPr>
              <w:widowControl/>
              <w:jc w:val="center"/>
              <w:rPr>
                <w:rFonts w:ascii="仿宋_GB2312" w:hAnsi="宋体" w:eastAsia="仿宋_GB2312" w:cs="宋体"/>
                <w:kern w:val="0"/>
                <w:sz w:val="32"/>
                <w:szCs w:val="32"/>
              </w:rPr>
            </w:pPr>
            <w:r>
              <w:rPr>
                <w:rFonts w:hint="eastAsia" w:ascii="仿宋_GB2312" w:hAnsi="Calibri" w:eastAsia="仿宋_GB2312" w:cs="Calibri"/>
                <w:kern w:val="0"/>
                <w:sz w:val="32"/>
                <w:szCs w:val="32"/>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3E48B6">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14:paraId="40AE006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bl>
    <w:p w14:paraId="4B16278F">
      <w:pPr>
        <w:pStyle w:val="6"/>
        <w:widowControl/>
        <w:shd w:val="clear" w:color="auto" w:fill="FFFFFF"/>
        <w:spacing w:beforeAutospacing="0" w:afterAutospacing="0" w:line="240" w:lineRule="atLeast"/>
        <w:jc w:val="both"/>
        <w:rPr>
          <w:rFonts w:ascii="黑体" w:hAnsi="黑体" w:eastAsia="黑体" w:cs="宋体"/>
          <w:b/>
          <w:color w:val="333333"/>
          <w:sz w:val="30"/>
          <w:szCs w:val="30"/>
          <w:shd w:val="clear" w:color="auto" w:fill="FFFFFF"/>
        </w:rPr>
      </w:pPr>
    </w:p>
    <w:p w14:paraId="1CE07C59">
      <w:pPr>
        <w:pStyle w:val="6"/>
        <w:widowControl/>
        <w:shd w:val="clear" w:color="auto" w:fill="FFFFFF"/>
        <w:spacing w:beforeAutospacing="0" w:afterAutospacing="0" w:line="240" w:lineRule="atLeast"/>
        <w:ind w:firstLine="420"/>
        <w:jc w:val="both"/>
        <w:rPr>
          <w:rFonts w:ascii="宋体" w:hAnsi="宋体" w:eastAsia="宋体" w:cs="宋体"/>
          <w:color w:val="333333"/>
          <w:sz w:val="19"/>
          <w:szCs w:val="19"/>
        </w:rPr>
      </w:pPr>
    </w:p>
    <w:p w14:paraId="0E98F5BB">
      <w:pPr>
        <w:pStyle w:val="6"/>
        <w:widowControl/>
        <w:numPr>
          <w:ilvl w:val="0"/>
          <w:numId w:val="1"/>
        </w:numPr>
        <w:shd w:val="clear" w:color="auto" w:fill="FFFFFF"/>
        <w:spacing w:beforeAutospacing="0" w:afterAutospacing="0" w:line="240" w:lineRule="atLeast"/>
        <w:ind w:firstLine="420"/>
        <w:jc w:val="both"/>
        <w:rPr>
          <w:rFonts w:ascii="黑体" w:hAnsi="黑体" w:eastAsia="黑体" w:cs="宋体"/>
          <w:b/>
          <w:color w:val="333333"/>
          <w:sz w:val="30"/>
          <w:szCs w:val="30"/>
          <w:shd w:val="clear" w:color="auto" w:fill="FFFFFF"/>
        </w:rPr>
      </w:pPr>
      <w:r>
        <w:rPr>
          <w:rFonts w:hint="eastAsia" w:ascii="黑体" w:hAnsi="黑体" w:eastAsia="黑体" w:cs="宋体"/>
          <w:b/>
          <w:color w:val="333333"/>
          <w:sz w:val="30"/>
          <w:szCs w:val="30"/>
          <w:shd w:val="clear" w:color="auto" w:fill="FFFFFF"/>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6C69F7E">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77558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1ABDD7">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行政诉讼</w:t>
            </w:r>
          </w:p>
        </w:tc>
      </w:tr>
      <w:tr w14:paraId="1F80E032">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EB1E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4F5D3D8">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040E21">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E1CBC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51588B">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13787E">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78052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复议后起诉</w:t>
            </w:r>
          </w:p>
        </w:tc>
      </w:tr>
      <w:tr w14:paraId="3B6B365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2BBF058">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8" w:space="0"/>
              <w:right w:val="single" w:color="auto" w:sz="8" w:space="0"/>
            </w:tcBorders>
            <w:vAlign w:val="center"/>
          </w:tcPr>
          <w:p w14:paraId="3CA77551">
            <w:pPr>
              <w:widowControl/>
              <w:jc w:val="left"/>
              <w:rPr>
                <w:rFonts w:ascii="仿宋_GB2312" w:hAnsi="宋体" w:eastAsia="仿宋_GB2312"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774F817B">
            <w:pPr>
              <w:widowControl/>
              <w:jc w:val="left"/>
              <w:rPr>
                <w:rFonts w:ascii="仿宋_GB2312" w:hAnsi="宋体" w:eastAsia="仿宋_GB2312"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11E3FD8B">
            <w:pPr>
              <w:widowControl/>
              <w:jc w:val="left"/>
              <w:rPr>
                <w:rFonts w:ascii="仿宋_GB2312" w:hAnsi="宋体" w:eastAsia="仿宋_GB2312"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14:paraId="56463475">
            <w:pPr>
              <w:widowControl/>
              <w:jc w:val="left"/>
              <w:rPr>
                <w:rFonts w:ascii="仿宋_GB2312" w:hAnsi="宋体" w:eastAsia="仿宋_GB2312" w:cs="宋体"/>
                <w:kern w:val="0"/>
                <w:sz w:val="32"/>
                <w:szCs w:val="32"/>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163970">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C0B8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62C2DF">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5F7789">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FBBF763">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B42292">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5A39D3">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695C23">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836F2A">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A9809CA">
            <w:pPr>
              <w:widowControl/>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总计</w:t>
            </w:r>
          </w:p>
        </w:tc>
      </w:tr>
      <w:tr w14:paraId="591FA91A">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FCF472">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0E281">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3CDC57E">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3E3EF9">
            <w:pPr>
              <w:widowControl/>
              <w:jc w:val="center"/>
              <w:rPr>
                <w:rFonts w:hint="eastAsia" w:ascii="仿宋_GB2312" w:hAnsi="宋体" w:eastAsia="仿宋_GB2312" w:cs="宋体"/>
                <w:kern w:val="0"/>
                <w:sz w:val="32"/>
                <w:szCs w:val="32"/>
                <w:lang w:eastAsia="zh-CN"/>
              </w:rPr>
            </w:pPr>
            <w:r>
              <w:rPr>
                <w:rFonts w:hint="eastAsia" w:ascii="仿宋_GB2312" w:hAnsi="Calibri" w:eastAsia="仿宋_GB2312" w:cs="Calibri"/>
                <w:kern w:val="0"/>
                <w:sz w:val="32"/>
                <w:szCs w:val="32"/>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1EC95B2">
            <w:pPr>
              <w:widowControl/>
              <w:jc w:val="center"/>
              <w:rPr>
                <w:rFonts w:hint="eastAsia" w:ascii="仿宋_GB2312" w:hAnsi="宋体" w:eastAsia="仿宋_GB2312" w:cs="宋体"/>
                <w:kern w:val="0"/>
                <w:sz w:val="32"/>
                <w:szCs w:val="32"/>
                <w:lang w:val="en-US" w:eastAsia="zh-CN"/>
              </w:rPr>
            </w:pPr>
            <w:r>
              <w:rPr>
                <w:rFonts w:hint="eastAsia" w:ascii="仿宋_GB2312" w:hAnsi="Calibri" w:eastAsia="仿宋_GB2312" w:cs="Calibri"/>
                <w:kern w:val="0"/>
                <w:sz w:val="32"/>
                <w:szCs w:val="32"/>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20D054">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47F46A">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75CAE">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59E8D2">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DACB17">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color w:val="000000"/>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5FA54">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DD9CCB">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0F82C7">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color w:val="000000"/>
                <w:kern w:val="0"/>
                <w:sz w:val="32"/>
                <w:szCs w:val="32"/>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6C7DE5">
            <w:pPr>
              <w:widowControl/>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0A714E">
            <w:pPr>
              <w:widowControl/>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0</w:t>
            </w:r>
          </w:p>
        </w:tc>
      </w:tr>
    </w:tbl>
    <w:p w14:paraId="714CF889">
      <w:pPr>
        <w:pStyle w:val="6"/>
        <w:widowControl/>
        <w:shd w:val="clear" w:color="auto" w:fill="FFFFFF"/>
        <w:spacing w:beforeAutospacing="0" w:afterAutospacing="0" w:line="240" w:lineRule="atLeast"/>
        <w:jc w:val="both"/>
        <w:rPr>
          <w:rFonts w:ascii="宋体" w:hAnsi="宋体" w:eastAsia="宋体" w:cs="宋体"/>
          <w:color w:val="333333"/>
          <w:sz w:val="19"/>
          <w:szCs w:val="19"/>
        </w:rPr>
      </w:pPr>
    </w:p>
    <w:p w14:paraId="4C02B124">
      <w:pPr>
        <w:pStyle w:val="6"/>
        <w:widowControl/>
        <w:shd w:val="clear" w:color="auto" w:fill="FFFFFF"/>
        <w:spacing w:beforeAutospacing="0" w:afterAutospacing="0" w:line="240" w:lineRule="atLeast"/>
        <w:ind w:firstLine="420"/>
        <w:jc w:val="both"/>
        <w:rPr>
          <w:rFonts w:ascii="黑体" w:hAnsi="黑体" w:eastAsia="黑体" w:cs="宋体"/>
          <w:b/>
          <w:color w:val="333333"/>
          <w:sz w:val="30"/>
          <w:szCs w:val="30"/>
          <w:shd w:val="clear" w:color="auto" w:fill="FFFFFF"/>
        </w:rPr>
      </w:pPr>
      <w:r>
        <w:rPr>
          <w:rFonts w:hint="eastAsia" w:ascii="黑体" w:hAnsi="黑体" w:eastAsia="黑体" w:cs="宋体"/>
          <w:b/>
          <w:color w:val="333333"/>
          <w:sz w:val="30"/>
          <w:szCs w:val="30"/>
          <w:shd w:val="clear" w:color="auto" w:fill="FFFFFF"/>
        </w:rPr>
        <w:t>五、存在的主要问题及改进情况</w:t>
      </w:r>
    </w:p>
    <w:p w14:paraId="2F2D98C0">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一是机构改革班子成员分工调整，导致人事任免信息公开不及时，缺乏时效性。</w:t>
      </w:r>
    </w:p>
    <w:p w14:paraId="675160DD">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二是重大行政决策邀请公众参与较少。</w:t>
      </w:r>
    </w:p>
    <w:p w14:paraId="1B10A08F">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改进措施：</w:t>
      </w:r>
    </w:p>
    <w:p w14:paraId="205C9056">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一要采取整改督办、定量考核等有效措施，不断规范和完善政务公开的形式及监督手段，切实解决政务信息的充实、更新问题，确保信息的权威性和时效性。</w:t>
      </w:r>
    </w:p>
    <w:p w14:paraId="31384833">
      <w:pPr>
        <w:pStyle w:val="6"/>
        <w:widowControl/>
        <w:shd w:val="clear" w:color="auto" w:fill="FFFFFF"/>
        <w:spacing w:beforeAutospacing="0" w:afterAutospacing="0" w:line="240" w:lineRule="atLeast"/>
        <w:ind w:firstLine="420"/>
        <w:jc w:val="both"/>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lang w:val="en-US" w:eastAsia="zh-CN"/>
        </w:rPr>
        <w:t>二</w:t>
      </w:r>
      <w:r>
        <w:rPr>
          <w:rFonts w:hint="eastAsia" w:ascii="宋体" w:hAnsi="宋体" w:eastAsia="宋体" w:cs="宋体"/>
          <w:color w:val="333333"/>
          <w:shd w:val="clear" w:color="auto" w:fill="FFFFFF"/>
        </w:rPr>
        <w:t>是坚持群众需求导向，主动向全社会公开决策依据、决策草案等，拓宽重大决策公众参与渠道，丰富重大决策意见征集形式，认真收集梳理社会公众的意见建议，更好满足群众信息需求，保障人民群众的决策权，确保更有针对性地开展下步工作。</w:t>
      </w:r>
      <w:r>
        <w:rPr>
          <w:rFonts w:hint="eastAsia" w:ascii="宋体" w:hAnsi="宋体" w:eastAsia="宋体" w:cs="宋体"/>
          <w:color w:val="333333"/>
          <w:shd w:val="clear" w:color="auto" w:fill="FFFFFF"/>
          <w:lang w:val="en-US" w:eastAsia="zh-CN"/>
        </w:rPr>
        <w:t>三</w:t>
      </w:r>
      <w:r>
        <w:rPr>
          <w:rFonts w:hint="eastAsia" w:ascii="宋体" w:hAnsi="宋体" w:eastAsia="宋体" w:cs="宋体"/>
          <w:color w:val="333333"/>
          <w:shd w:val="clear" w:color="auto" w:fill="FFFFFF"/>
        </w:rPr>
        <w:t>是持续推进政务公开制度完善，规范政府信息公开工作流程，完善政务公开体系建设，提高工作透明度，创造条件让人民群众更有效地监督我们，逐步提升政务公开水平。</w:t>
      </w:r>
    </w:p>
    <w:p w14:paraId="023ABD57">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p>
    <w:p w14:paraId="66A3E3C7">
      <w:pPr>
        <w:pStyle w:val="6"/>
        <w:widowControl/>
        <w:shd w:val="clear" w:color="auto" w:fill="FFFFFF"/>
        <w:spacing w:beforeAutospacing="0" w:afterAutospacing="0" w:line="240" w:lineRule="atLeast"/>
        <w:ind w:firstLine="420"/>
        <w:jc w:val="both"/>
        <w:rPr>
          <w:rFonts w:ascii="黑体" w:hAnsi="黑体" w:eastAsia="黑体" w:cs="宋体"/>
          <w:b/>
          <w:color w:val="333333"/>
          <w:sz w:val="30"/>
          <w:szCs w:val="30"/>
          <w:shd w:val="clear" w:color="auto" w:fill="FFFFFF"/>
        </w:rPr>
      </w:pPr>
      <w:r>
        <w:rPr>
          <w:rFonts w:hint="eastAsia" w:ascii="黑体" w:hAnsi="黑体" w:eastAsia="黑体" w:cs="宋体"/>
          <w:b/>
          <w:color w:val="333333"/>
          <w:sz w:val="30"/>
          <w:szCs w:val="30"/>
          <w:shd w:val="clear" w:color="auto" w:fill="FFFFFF"/>
        </w:rPr>
        <w:t>六、其他需要报告的事项</w:t>
      </w:r>
    </w:p>
    <w:p w14:paraId="5A5ECDFD">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淮北市住房和城乡建设局无其他报告事项。</w:t>
      </w:r>
    </w:p>
    <w:p w14:paraId="76E103BA">
      <w:pPr>
        <w:pStyle w:val="6"/>
        <w:widowControl/>
        <w:shd w:val="clear" w:color="auto" w:fill="FFFFFF"/>
        <w:spacing w:beforeAutospacing="0" w:afterAutospacing="0" w:line="240" w:lineRule="atLeast"/>
        <w:ind w:firstLine="420"/>
        <w:jc w:val="both"/>
        <w:rPr>
          <w:rFonts w:ascii="宋体" w:hAnsi="宋体" w:eastAsia="宋体" w:cs="宋体"/>
          <w:color w:val="333333"/>
          <w:shd w:val="clear" w:color="auto" w:fill="FFFFFF"/>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6735C"/>
    <w:multiLevelType w:val="singleLevel"/>
    <w:tmpl w:val="56D673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WQxNjdlMzQ3NTcyN2I4YmZiZTFhYTg3ZDA1YzAifQ=="/>
  </w:docVars>
  <w:rsids>
    <w:rsidRoot w:val="00731DCD"/>
    <w:rsid w:val="00022706"/>
    <w:rsid w:val="0007668B"/>
    <w:rsid w:val="000863D7"/>
    <w:rsid w:val="00090B23"/>
    <w:rsid w:val="00096C41"/>
    <w:rsid w:val="00101369"/>
    <w:rsid w:val="00120F4E"/>
    <w:rsid w:val="00121CBF"/>
    <w:rsid w:val="00143C69"/>
    <w:rsid w:val="001D0AAF"/>
    <w:rsid w:val="002B1B12"/>
    <w:rsid w:val="00304041"/>
    <w:rsid w:val="0030789D"/>
    <w:rsid w:val="003518A4"/>
    <w:rsid w:val="0036408F"/>
    <w:rsid w:val="00385C13"/>
    <w:rsid w:val="003C47C4"/>
    <w:rsid w:val="00465CE4"/>
    <w:rsid w:val="00522E0C"/>
    <w:rsid w:val="005D5E7B"/>
    <w:rsid w:val="006201B2"/>
    <w:rsid w:val="00623A3F"/>
    <w:rsid w:val="00684653"/>
    <w:rsid w:val="006B22B2"/>
    <w:rsid w:val="006C08FF"/>
    <w:rsid w:val="006C3F06"/>
    <w:rsid w:val="006E3B42"/>
    <w:rsid w:val="00722883"/>
    <w:rsid w:val="00724EBD"/>
    <w:rsid w:val="00731DCD"/>
    <w:rsid w:val="00737CEE"/>
    <w:rsid w:val="007B5F5D"/>
    <w:rsid w:val="007C25B0"/>
    <w:rsid w:val="007F2D25"/>
    <w:rsid w:val="00856B65"/>
    <w:rsid w:val="008A4BD2"/>
    <w:rsid w:val="008F5C5B"/>
    <w:rsid w:val="00904CFF"/>
    <w:rsid w:val="0094652E"/>
    <w:rsid w:val="009B17B0"/>
    <w:rsid w:val="009B2738"/>
    <w:rsid w:val="009C3F9B"/>
    <w:rsid w:val="009D5F3A"/>
    <w:rsid w:val="009D6F99"/>
    <w:rsid w:val="00A53338"/>
    <w:rsid w:val="00A71717"/>
    <w:rsid w:val="00AB055E"/>
    <w:rsid w:val="00AC2C64"/>
    <w:rsid w:val="00AF248A"/>
    <w:rsid w:val="00B06AF9"/>
    <w:rsid w:val="00B338D9"/>
    <w:rsid w:val="00B7509C"/>
    <w:rsid w:val="00B85511"/>
    <w:rsid w:val="00B9554E"/>
    <w:rsid w:val="00BA03F8"/>
    <w:rsid w:val="00BF211C"/>
    <w:rsid w:val="00C04A45"/>
    <w:rsid w:val="00C259EB"/>
    <w:rsid w:val="00C25ADF"/>
    <w:rsid w:val="00C648AF"/>
    <w:rsid w:val="00CA24AD"/>
    <w:rsid w:val="00CE560E"/>
    <w:rsid w:val="00D00E92"/>
    <w:rsid w:val="00D23EA2"/>
    <w:rsid w:val="00D27F61"/>
    <w:rsid w:val="00E1604D"/>
    <w:rsid w:val="00E36D23"/>
    <w:rsid w:val="00E4733D"/>
    <w:rsid w:val="00E824BF"/>
    <w:rsid w:val="00ED6A2C"/>
    <w:rsid w:val="00EF0C01"/>
    <w:rsid w:val="00F537F9"/>
    <w:rsid w:val="00F53E3E"/>
    <w:rsid w:val="00F62FD7"/>
    <w:rsid w:val="00F95DBC"/>
    <w:rsid w:val="00FB3474"/>
    <w:rsid w:val="0A8B3261"/>
    <w:rsid w:val="1C8A7883"/>
    <w:rsid w:val="1DA45AA8"/>
    <w:rsid w:val="21352A98"/>
    <w:rsid w:val="331B0B32"/>
    <w:rsid w:val="34F32774"/>
    <w:rsid w:val="38261099"/>
    <w:rsid w:val="418A2D65"/>
    <w:rsid w:val="4624169D"/>
    <w:rsid w:val="4D9B379F"/>
    <w:rsid w:val="609B1BD4"/>
    <w:rsid w:val="678E1308"/>
    <w:rsid w:val="6B450D61"/>
    <w:rsid w:val="6D40198C"/>
    <w:rsid w:val="6FE94C00"/>
    <w:rsid w:val="7A6E470F"/>
    <w:rsid w:val="7AFA4078"/>
    <w:rsid w:val="7F5F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3917</Words>
  <Characters>4073</Characters>
  <Lines>5</Lines>
  <Paragraphs>8</Paragraphs>
  <TotalTime>0</TotalTime>
  <ScaleCrop>false</ScaleCrop>
  <LinksUpToDate>false</LinksUpToDate>
  <CharactersWithSpaces>4076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2020-02-03T02:13:00Z</dcterms:created>
  <dc:creator>admin</dc:creator>
  <cp:lastModifiedBy>Oo羽oO</cp:lastModifiedBy>
  <dcterms:modified xsi:type="dcterms:W3CDTF">2025-05-23T03:10:24Z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B590DF6356F749BCB392D4015B89A372</vt:lpwstr>
  </property>
  <property fmtid="{D5CDD505-2E9C-101B-9397-08002B2CF9AE}" pid="4" name="KSOTemplateDocerSaveRecord">
    <vt:lpwstr>eyJoZGlkIjoiMjgyYzVmZGI5NjVmZGM4Zjc0NTk1ODE4NGI2MzhkZDUiLCJ1c2VySWQiOiIyNjM0ODA1ODIifQ==</vt:lpwstr>
  </property>
</Properties>
</file>