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B8D1"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附件4：</w:t>
      </w:r>
    </w:p>
    <w:p w14:paraId="5D9B5F6F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</w:p>
    <w:p w14:paraId="5F3CDD2C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</w:p>
    <w:p w14:paraId="2A08E669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市装配式建筑项目竣工阶段</w:t>
      </w:r>
    </w:p>
    <w:p w14:paraId="70AE7831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装配率审核认定方案</w:t>
      </w:r>
    </w:p>
    <w:p w14:paraId="75D00753">
      <w:pPr>
        <w:widowControl/>
        <w:spacing w:before="120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24CA8E50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523489F7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497A10F3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15DA6E0B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2728331B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3EE3CB90">
      <w:pPr>
        <w:widowControl/>
        <w:spacing w:before="120"/>
        <w:jc w:val="center"/>
        <w:rPr>
          <w:rFonts w:ascii="仿宋" w:hAnsi="仿宋" w:eastAsia="仿宋" w:cs="宋体"/>
          <w:b/>
          <w:bCs/>
          <w:sz w:val="32"/>
          <w:szCs w:val="32"/>
        </w:rPr>
      </w:pPr>
    </w:p>
    <w:p w14:paraId="47A09F90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        </w:t>
      </w:r>
    </w:p>
    <w:p w14:paraId="31C7A5C7">
      <w:pPr>
        <w:widowControl/>
        <w:adjustRightInd w:val="0"/>
        <w:snapToGrid w:val="0"/>
        <w:spacing w:before="120"/>
        <w:jc w:val="left"/>
        <w:rPr>
          <w:rFonts w:ascii="仿宋" w:hAnsi="仿宋" w:eastAsia="仿宋" w:cs="宋体"/>
          <w:b/>
          <w:bCs/>
          <w:sz w:val="32"/>
          <w:szCs w:val="32"/>
        </w:rPr>
      </w:pPr>
    </w:p>
    <w:p w14:paraId="331FB33F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建设单位：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（盖章）</w:t>
      </w:r>
    </w:p>
    <w:p w14:paraId="1EB8649A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</w:p>
    <w:p w14:paraId="1397A68D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日    期：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         </w:t>
      </w:r>
    </w:p>
    <w:p w14:paraId="6F1E7D2F">
      <w:pPr>
        <w:pageBreakBefore/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市装配式建筑装配率审核认定方案</w:t>
      </w:r>
    </w:p>
    <w:p w14:paraId="62A88E79">
      <w:pPr>
        <w:widowControl/>
        <w:jc w:val="center"/>
        <w:rPr>
          <w:rFonts w:ascii="仿宋" w:hAnsi="仿宋" w:eastAsia="仿宋" w:cs="仿宋_GB2312"/>
          <w:sz w:val="44"/>
          <w:szCs w:val="44"/>
        </w:rPr>
      </w:pPr>
      <w:r>
        <w:rPr>
          <w:rFonts w:hint="eastAsia" w:ascii="仿宋" w:hAnsi="仿宋" w:eastAsia="仿宋" w:cs="仿宋_GB2312"/>
          <w:sz w:val="44"/>
          <w:szCs w:val="44"/>
        </w:rPr>
        <w:t>（审批栏）</w:t>
      </w:r>
    </w:p>
    <w:p w14:paraId="7EBA9C9D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13053041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506A2C18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50D94C77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4CB23C21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528FE80D">
      <w:pPr>
        <w:widowControl/>
        <w:jc w:val="left"/>
        <w:rPr>
          <w:rFonts w:ascii="仿宋" w:hAnsi="仿宋" w:eastAsia="仿宋" w:cs="仿宋_GB2312"/>
          <w:sz w:val="44"/>
          <w:szCs w:val="44"/>
          <w:lang w:val="zh-CN"/>
        </w:rPr>
      </w:pPr>
    </w:p>
    <w:p w14:paraId="4A9F1601">
      <w:pPr>
        <w:widowControl/>
        <w:ind w:firstLine="1285" w:firstLineChars="400"/>
        <w:jc w:val="left"/>
        <w:rPr>
          <w:rFonts w:ascii="仿宋" w:hAnsi="仿宋" w:eastAsia="仿宋" w:cs="仿宋_GB2312"/>
          <w:sz w:val="44"/>
          <w:szCs w:val="44"/>
          <w:lang w:val="zh-CN"/>
        </w:rPr>
      </w:pPr>
      <w:r>
        <w:rPr>
          <w:rFonts w:ascii="仿宋" w:hAnsi="仿宋" w:eastAsia="仿宋" w:cs="仿宋_GB2312"/>
          <w:b/>
          <w:sz w:val="32"/>
          <w:szCs w:val="32"/>
        </w:rPr>
        <w:t>编制人</w:t>
      </w:r>
      <w:r>
        <w:rPr>
          <w:rFonts w:hint="eastAsia" w:ascii="仿宋" w:hAnsi="仿宋" w:eastAsia="仿宋" w:cs="仿宋_GB2312"/>
          <w:b/>
          <w:sz w:val="32"/>
          <w:szCs w:val="32"/>
        </w:rPr>
        <w:t>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</w:t>
      </w:r>
    </w:p>
    <w:p w14:paraId="3A4C965D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29E90E16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审核人（签字）：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 </w:t>
      </w:r>
    </w:p>
    <w:p w14:paraId="685EFC3B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2E9EC6A5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审批人（签字）：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 </w:t>
      </w:r>
    </w:p>
    <w:p w14:paraId="5D50E371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1ADDFCA6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编制单位：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（盖章）</w:t>
      </w:r>
    </w:p>
    <w:p w14:paraId="2EF55FBD">
      <w:pPr>
        <w:widowControl/>
        <w:jc w:val="left"/>
        <w:rPr>
          <w:rFonts w:ascii="仿宋" w:hAnsi="仿宋" w:eastAsia="仿宋" w:cs="仿宋_GB2312"/>
          <w:b/>
          <w:sz w:val="32"/>
          <w:szCs w:val="32"/>
        </w:rPr>
      </w:pPr>
      <w:r>
        <w:rPr>
          <w:rFonts w:ascii="仿宋" w:hAnsi="仿宋" w:eastAsia="仿宋" w:cs="仿宋_GB2312"/>
          <w:b/>
          <w:sz w:val="32"/>
          <w:szCs w:val="32"/>
        </w:rPr>
        <w:br w:type="page"/>
      </w:r>
    </w:p>
    <w:p w14:paraId="7AAD1445">
      <w:pPr>
        <w:widowControl/>
        <w:jc w:val="left"/>
        <w:rPr>
          <w:rFonts w:ascii="仿宋" w:hAnsi="仿宋" w:eastAsia="仿宋" w:cs="仿宋_GB2312"/>
          <w:sz w:val="44"/>
          <w:szCs w:val="44"/>
        </w:rPr>
      </w:pPr>
    </w:p>
    <w:p w14:paraId="6343E7F9">
      <w:pPr>
        <w:pStyle w:val="11"/>
        <w:adjustRightInd w:val="0"/>
        <w:snapToGrid w:val="0"/>
        <w:spacing w:before="0"/>
        <w:jc w:val="center"/>
        <w:rPr>
          <w:rFonts w:ascii="仿宋" w:hAnsi="仿宋" w:eastAsia="仿宋" w:cs="仿宋_GB2312"/>
          <w:color w:val="auto"/>
          <w:sz w:val="44"/>
          <w:szCs w:val="44"/>
          <w:lang w:val="zh-CN"/>
        </w:rPr>
      </w:pPr>
      <w:r>
        <w:rPr>
          <w:rFonts w:hint="eastAsia" w:ascii="仿宋" w:hAnsi="仿宋" w:eastAsia="仿宋" w:cs="仿宋_GB2312"/>
          <w:color w:val="auto"/>
          <w:sz w:val="44"/>
          <w:szCs w:val="44"/>
          <w:lang w:val="zh-CN"/>
        </w:rPr>
        <w:t>目   录</w:t>
      </w:r>
    </w:p>
    <w:p w14:paraId="57003C6D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一、项目施工概况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3FBE9545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4FD1E551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二、装配式建筑的施工情况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6656B113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5108284D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三、装配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率加分项</w:t>
      </w:r>
      <w:r>
        <w:rPr>
          <w:rFonts w:hint="eastAsia" w:ascii="仿宋" w:hAnsi="仿宋" w:eastAsia="仿宋" w:cs="仿宋_GB2312"/>
          <w:bCs/>
          <w:sz w:val="32"/>
          <w:szCs w:val="32"/>
        </w:rPr>
        <w:t>执行情况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6C5B8C06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27DFE09D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四、装配率计算表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6F8FCF0F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16161EFA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五、其他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0F8B8140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2836CAD2">
      <w:pPr>
        <w:widowControl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ascii="仿宋" w:hAnsi="仿宋" w:eastAsia="仿宋" w:cs="仿宋_GB2312"/>
          <w:b/>
          <w:bCs/>
          <w:sz w:val="32"/>
          <w:szCs w:val="32"/>
        </w:rPr>
        <w:br w:type="page"/>
      </w:r>
    </w:p>
    <w:p w14:paraId="0060B01E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一、项目概况</w:t>
      </w:r>
    </w:p>
    <w:p w14:paraId="2705B1EA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包括建设各方责任主体、编制依据、项目位置、用地面积、建筑面积、开竣工日期、项目楼栋情况、装配式建筑楼栋情况、装配式建筑使用预制构件种类说明、装配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率加分项</w:t>
      </w:r>
      <w:r>
        <w:rPr>
          <w:rFonts w:hint="eastAsia" w:ascii="仿宋" w:hAnsi="仿宋" w:eastAsia="仿宋" w:cs="仿宋_GB2312"/>
          <w:bCs/>
          <w:sz w:val="28"/>
          <w:szCs w:val="28"/>
        </w:rPr>
        <w:t>等情况。</w:t>
      </w:r>
    </w:p>
    <w:p w14:paraId="0A8D7252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二、装配式建筑的施工情况</w:t>
      </w:r>
    </w:p>
    <w:p w14:paraId="7B44E306">
      <w:pPr>
        <w:adjustRightInd w:val="0"/>
        <w:snapToGrid w:val="0"/>
        <w:spacing w:line="520" w:lineRule="exact"/>
        <w:ind w:firstLine="320" w:firstLineChars="1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（一）</w:t>
      </w:r>
      <w:r>
        <w:rPr>
          <w:rFonts w:hint="eastAsia" w:ascii="仿宋" w:hAnsi="仿宋" w:eastAsia="仿宋" w:cs="仿宋_GB2312"/>
          <w:bCs/>
          <w:sz w:val="28"/>
          <w:szCs w:val="28"/>
        </w:rPr>
        <w:t>装配式建筑标准化施工应用情况。（包括但不限于功能模块、预制构件等）</w:t>
      </w:r>
    </w:p>
    <w:p w14:paraId="4284BAF4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（二）关键节点施工情况。（包括但不限于预制构件安装连接节点、预制构件</w:t>
      </w:r>
      <w:r>
        <w:rPr>
          <w:rFonts w:hint="eastAsia" w:ascii="仿宋" w:hAnsi="仿宋" w:eastAsia="仿宋" w:cs="仿宋_GB2312"/>
          <w:sz w:val="28"/>
          <w:szCs w:val="28"/>
        </w:rPr>
        <w:t>防水节点、墙体防开裂等</w:t>
      </w:r>
      <w:r>
        <w:rPr>
          <w:rFonts w:hint="eastAsia" w:ascii="仿宋" w:hAnsi="仿宋" w:eastAsia="仿宋" w:cs="仿宋_GB2312"/>
          <w:bCs/>
          <w:sz w:val="28"/>
          <w:szCs w:val="28"/>
        </w:rPr>
        <w:t>）</w:t>
      </w:r>
    </w:p>
    <w:p w14:paraId="3BC57F2D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（三）装配式建筑集成系统等施工情况。（包括全装修、干式工法楼地面、集成厨房、集成卫生间、管线分离、关键节点等部分）</w:t>
      </w:r>
    </w:p>
    <w:p w14:paraId="0A0A8668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（四）涉及结构安全和装配率计算变更等情况。</w:t>
      </w:r>
    </w:p>
    <w:p w14:paraId="37915154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三、装配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率加分项</w:t>
      </w:r>
      <w:r>
        <w:rPr>
          <w:rFonts w:hint="eastAsia" w:ascii="仿宋" w:hAnsi="仿宋" w:eastAsia="仿宋" w:cs="仿宋_GB2312"/>
          <w:b/>
          <w:sz w:val="32"/>
          <w:szCs w:val="32"/>
        </w:rPr>
        <w:t>执行情况</w:t>
      </w:r>
    </w:p>
    <w:p w14:paraId="3C9E2A08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（一）工程总承包执行情况。</w:t>
      </w:r>
    </w:p>
    <w:p w14:paraId="2B933979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（二）全过程应用</w:t>
      </w:r>
      <w:r>
        <w:rPr>
          <w:rFonts w:ascii="仿宋" w:hAnsi="仿宋" w:eastAsia="仿宋" w:cs="仿宋_GB2312"/>
          <w:bCs/>
          <w:sz w:val="28"/>
          <w:szCs w:val="28"/>
        </w:rPr>
        <w:t>BIM</w:t>
      </w:r>
      <w:r>
        <w:rPr>
          <w:rFonts w:hint="eastAsia" w:ascii="仿宋" w:hAnsi="仿宋" w:eastAsia="仿宋" w:cs="仿宋_GB2312"/>
          <w:bCs/>
          <w:sz w:val="28"/>
          <w:szCs w:val="28"/>
        </w:rPr>
        <w:t>技术情况。</w:t>
      </w:r>
    </w:p>
    <w:p w14:paraId="782D7340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（三）绿色建筑星级设计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及实施</w:t>
      </w:r>
      <w:r>
        <w:rPr>
          <w:rFonts w:hint="eastAsia" w:ascii="仿宋" w:hAnsi="仿宋" w:eastAsia="仿宋" w:cs="仿宋_GB2312"/>
          <w:bCs/>
          <w:sz w:val="28"/>
          <w:szCs w:val="28"/>
        </w:rPr>
        <w:t>情况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、绿色建材应用情况等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 w14:paraId="4E0198FB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四、装配率计算表</w:t>
      </w:r>
    </w:p>
    <w:p w14:paraId="431C3BDE">
      <w:pPr>
        <w:pStyle w:val="10"/>
        <w:spacing w:line="320" w:lineRule="exac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各单体建筑装配率指标统计表</w:t>
      </w:r>
    </w:p>
    <w:tbl>
      <w:tblPr>
        <w:tblStyle w:val="6"/>
        <w:tblpPr w:leftFromText="180" w:rightFromText="180" w:vertAnchor="text" w:horzAnchor="margin" w:tblpX="-68" w:tblpY="23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09"/>
        <w:gridCol w:w="680"/>
        <w:gridCol w:w="851"/>
        <w:gridCol w:w="850"/>
        <w:gridCol w:w="851"/>
        <w:gridCol w:w="850"/>
        <w:gridCol w:w="1276"/>
        <w:gridCol w:w="1349"/>
      </w:tblGrid>
      <w:tr w14:paraId="06F9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897" w:type="dxa"/>
            <w:vAlign w:val="center"/>
          </w:tcPr>
          <w:p w14:paraId="4750908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09" w:type="dxa"/>
            <w:vAlign w:val="center"/>
          </w:tcPr>
          <w:p w14:paraId="1DFB56E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0" w:type="dxa"/>
            <w:vAlign w:val="center"/>
          </w:tcPr>
          <w:p w14:paraId="7C82F2F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51" w:type="dxa"/>
            <w:vAlign w:val="center"/>
          </w:tcPr>
          <w:p w14:paraId="5D15CE7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50" w:type="dxa"/>
            <w:vAlign w:val="center"/>
          </w:tcPr>
          <w:p w14:paraId="280D9EE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51" w:type="dxa"/>
            <w:vAlign w:val="center"/>
          </w:tcPr>
          <w:p w14:paraId="492A25C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50" w:type="dxa"/>
            <w:vAlign w:val="center"/>
          </w:tcPr>
          <w:p w14:paraId="27603CC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76" w:type="dxa"/>
            <w:vAlign w:val="center"/>
          </w:tcPr>
          <w:p w14:paraId="5A3A777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装配式建筑应用建筑业新技术</w:t>
            </w: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49" w:type="dxa"/>
            <w:vAlign w:val="center"/>
          </w:tcPr>
          <w:p w14:paraId="7C5653D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 w14:paraId="3B66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638F5ED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59AC996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9EE5B0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C17A3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C6444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07E20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D19FA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40B513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49" w:type="dxa"/>
          </w:tcPr>
          <w:p w14:paraId="69E781A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60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187A217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 w14:paraId="76C2C99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1B26EA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15198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5A273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424AF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EEE8E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6E2E5457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E3189B7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B09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6034760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 w14:paraId="3C06B52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D5D6F7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2C8A0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8D84F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99BB9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2D041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048EF11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B24C614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8D4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2DA5F51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 w14:paraId="35F01A0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90462D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00CE8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6B2CE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758ED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7E6C8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74D69719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B4BA223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A6D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0E167BF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bCs/>
                <w:szCs w:val="21"/>
              </w:rPr>
              <w:t>.....</w:t>
            </w:r>
          </w:p>
        </w:tc>
        <w:tc>
          <w:tcPr>
            <w:tcW w:w="1009" w:type="dxa"/>
            <w:vAlign w:val="center"/>
          </w:tcPr>
          <w:p w14:paraId="16AB8EB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FE739E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F31D5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9FDCE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A62E5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18F689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21444991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68049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11698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13" w:type="dxa"/>
            <w:gridSpan w:val="9"/>
          </w:tcPr>
          <w:p w14:paraId="2549E3FD">
            <w:pPr>
              <w:adjustRightInd w:val="0"/>
              <w:snapToGrid w:val="0"/>
              <w:spacing w:line="520" w:lineRule="exact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单体工程装配率计算表（一个单体工程一张表）</w:t>
            </w:r>
          </w:p>
        </w:tc>
      </w:tr>
    </w:tbl>
    <w:p w14:paraId="07C8DED2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具体表格以安徽省现行规范计算表为准。</w:t>
      </w:r>
    </w:p>
    <w:p w14:paraId="079BCD63">
      <w:pPr>
        <w:numPr>
          <w:numId w:val="0"/>
        </w:numPr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五、其他</w:t>
      </w:r>
    </w:p>
    <w:p w14:paraId="514C31B5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他需要补充说明的材料</w:t>
      </w:r>
    </w:p>
    <w:p w14:paraId="69F93782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 Sun">
    <w:altName w:val="方正书宋_GBK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47E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11E8AF4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66B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7780" b="1270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97F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6p&#10;ebnPAAAABQEAAA8AAAAAAAAAAQAgAAAAIgAAAGRycy9kb3ducmV2LnhtbFBLAQIUABQAAAAIAIdO&#10;4kCGXE/l8wEAAAMEAAAOAAAAAAAAAAEAIAAAAB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97FEB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6A"/>
    <w:rsid w:val="004D1DD9"/>
    <w:rsid w:val="005F4030"/>
    <w:rsid w:val="00813FA3"/>
    <w:rsid w:val="008A4884"/>
    <w:rsid w:val="00904E39"/>
    <w:rsid w:val="00916031"/>
    <w:rsid w:val="00B75158"/>
    <w:rsid w:val="00C75D85"/>
    <w:rsid w:val="00EC4B6A"/>
    <w:rsid w:val="00F505A8"/>
    <w:rsid w:val="79EDCEB9"/>
    <w:rsid w:val="C7FFA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Default"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character" w:customStyle="1" w:styleId="12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</Words>
  <Characters>1425</Characters>
  <Lines>11</Lines>
  <Paragraphs>3</Paragraphs>
  <TotalTime>0</TotalTime>
  <ScaleCrop>false</ScaleCrop>
  <LinksUpToDate>false</LinksUpToDate>
  <CharactersWithSpaces>1672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2018-10-21T06:03:00Z</dcterms:created>
  <dc:creator>Haoyu Wu</dc:creator>
  <cp:lastModifiedBy>作者</cp:lastModifiedBy>
  <cp:lastPrinted>2026-03-19T14:54:31Z</cp:lastPrinted>
  <dcterms:modified xsi:type="dcterms:W3CDTF">2026-03-19T14:54:39Z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954F56DDAE5B42EA0C35D2685651361A_42</vt:lpwstr>
  </property>
</Properties>
</file>