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both"/>
        <w:rPr>
          <w:rFonts w:hint="eastAsia" w:ascii="黑体" w:hAnsi="黑体" w:eastAsia="黑体" w:cs="黑体"/>
          <w:sz w:val="32"/>
          <w:szCs w:val="32"/>
        </w:rPr>
      </w:pPr>
      <w:bookmarkStart w:id="0" w:name="_Toc699"/>
      <w:r>
        <w:rPr>
          <w:rFonts w:hint="eastAsia" w:ascii="黑体" w:hAnsi="黑体" w:eastAsia="黑体" w:cs="黑体"/>
          <w:b w:val="0"/>
          <w:bCs w:val="0"/>
          <w:kern w:val="0"/>
          <w:sz w:val="32"/>
          <w:szCs w:val="32"/>
          <w:lang w:eastAsia="zh-CN"/>
        </w:rPr>
        <w:t>附件</w:t>
      </w:r>
      <w:r>
        <w:rPr>
          <w:rFonts w:hint="default" w:ascii="黑体" w:hAnsi="黑体" w:eastAsia="黑体" w:cs="黑体"/>
          <w:b w:val="0"/>
          <w:bCs w:val="0"/>
          <w:kern w:val="0"/>
          <w:sz w:val="32"/>
          <w:szCs w:val="32"/>
          <w:lang w:val="en-US" w:eastAsia="zh-CN"/>
        </w:rPr>
        <w:t>6</w:t>
      </w:r>
      <w:bookmarkStart w:id="1" w:name="_GoBack"/>
      <w:bookmarkEnd w:id="1"/>
      <w:r>
        <w:rPr>
          <w:rFonts w:hint="eastAsia" w:ascii="黑体" w:hAnsi="黑体" w:eastAsia="黑体" w:cs="黑体"/>
          <w:b w:val="0"/>
          <w:bCs w:val="0"/>
          <w:kern w:val="0"/>
          <w:sz w:val="32"/>
          <w:szCs w:val="32"/>
          <w:lang w:val="en-US" w:eastAsia="zh-CN"/>
        </w:rPr>
        <w:t>：</w:t>
      </w:r>
    </w:p>
    <w:p>
      <w:pPr>
        <w:jc w:val="center"/>
        <w:outlineLvl w:val="0"/>
        <w:rPr>
          <w:rFonts w:ascii="华文中宋" w:hAnsi="华文中宋" w:eastAsia="华文中宋" w:cs="方正小标宋_GBK"/>
          <w:sz w:val="32"/>
          <w:szCs w:val="32"/>
        </w:rPr>
      </w:pPr>
      <w:r>
        <w:rPr>
          <w:rFonts w:hint="eastAsia" w:ascii="华文中宋" w:hAnsi="华文中宋" w:eastAsia="华文中宋" w:cs="方正小标宋_GBK"/>
          <w:sz w:val="32"/>
          <w:szCs w:val="32"/>
        </w:rPr>
        <w:t>建设工程项目规模认定参考标准</w:t>
      </w:r>
    </w:p>
    <w:p>
      <w:pPr>
        <w:jc w:val="center"/>
        <w:outlineLvl w:val="0"/>
        <w:rPr>
          <w:rFonts w:ascii="黑体" w:hAnsi="黑体" w:eastAsia="黑体" w:cs="方正黑体_GBK"/>
          <w:sz w:val="28"/>
          <w:szCs w:val="28"/>
        </w:rPr>
      </w:pPr>
      <w:r>
        <w:rPr>
          <w:rFonts w:hint="eastAsia" w:ascii="黑体" w:hAnsi="黑体" w:eastAsia="黑体" w:cs="方正黑体_GBK"/>
          <w:sz w:val="28"/>
          <w:szCs w:val="28"/>
        </w:rPr>
        <w:t>一、建筑工程专业</w:t>
      </w:r>
      <w:bookmarkEnd w:id="0"/>
    </w:p>
    <w:tbl>
      <w:tblPr>
        <w:tblStyle w:val="7"/>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658"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备注</w:t>
            </w:r>
          </w:p>
        </w:tc>
      </w:tr>
      <w:tr>
        <w:tblPrEx>
          <w:tblCellMar>
            <w:top w:w="113" w:type="dxa"/>
            <w:left w:w="57" w:type="dxa"/>
            <w:bottom w:w="57" w:type="dxa"/>
            <w:right w:w="57" w:type="dxa"/>
          </w:tblCellMar>
        </w:tblPrEx>
        <w:trPr>
          <w:trHeight w:val="313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themeColor="text1"/>
                <w:kern w:val="0"/>
                <w:sz w:val="20"/>
                <w:szCs w:val="20"/>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themeColor="text1"/>
                <w:kern w:val="0"/>
                <w:sz w:val="20"/>
                <w:szCs w:val="20"/>
              </w:rPr>
              <w:t>一般公共建筑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符合下列条件之一 ：</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（1）地上25层以上的建筑；</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（2</w:t>
            </w:r>
            <w:r>
              <w:rPr>
                <w:rFonts w:hint="eastAsia" w:asciiTheme="minorEastAsia" w:hAnsiTheme="minorEastAsia" w:cstheme="minorEastAsia"/>
                <w:color w:val="000000" w:themeColor="text1"/>
                <w:spacing w:val="9"/>
                <w:kern w:val="0"/>
                <w:sz w:val="20"/>
                <w:szCs w:val="20"/>
              </w:rPr>
              <w:t>）</w:t>
            </w:r>
            <w:r>
              <w:rPr>
                <w:rFonts w:hint="eastAsia" w:asciiTheme="minorEastAsia" w:hAnsiTheme="minorEastAsia" w:cstheme="minorEastAsia"/>
                <w:color w:val="000000" w:themeColor="text1"/>
                <w:kern w:val="0"/>
                <w:sz w:val="20"/>
                <w:szCs w:val="20"/>
              </w:rPr>
              <w:t>高度100m以上的构筑物或建筑物；</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（3）建筑面积3万m</w:t>
            </w:r>
            <w:r>
              <w:rPr>
                <w:rFonts w:hint="eastAsia" w:asciiTheme="minorEastAsia" w:hAnsiTheme="minorEastAsia" w:cstheme="minorEastAsia"/>
                <w:color w:val="000000" w:themeColor="text1"/>
                <w:kern w:val="0"/>
                <w:sz w:val="20"/>
                <w:szCs w:val="20"/>
                <w:vertAlign w:val="superscript"/>
              </w:rPr>
              <w:t>2</w:t>
            </w:r>
            <w:r>
              <w:rPr>
                <w:rFonts w:hint="eastAsia" w:asciiTheme="minorEastAsia" w:hAnsiTheme="minorEastAsia" w:cstheme="minorEastAsia"/>
                <w:color w:val="000000" w:themeColor="text1"/>
                <w:kern w:val="0"/>
                <w:sz w:val="20"/>
                <w:szCs w:val="20"/>
              </w:rPr>
              <w:t>以上的单体建筑；</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（4）钢筋混凝土结构单跨30m以上的建筑工程；</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（5）</w:t>
            </w:r>
            <w:r>
              <w:rPr>
                <w:rFonts w:hint="eastAsia" w:asciiTheme="minorEastAsia" w:hAnsiTheme="minorEastAsia" w:cstheme="minorEastAsia"/>
                <w:color w:val="000000" w:themeColor="text1"/>
                <w:spacing w:val="-5"/>
                <w:kern w:val="0"/>
                <w:sz w:val="20"/>
                <w:szCs w:val="20"/>
              </w:rPr>
              <w:t>钢结构单跨36m以上的建筑工程(不</w:t>
            </w:r>
            <w:r>
              <w:rPr>
                <w:rFonts w:hint="eastAsia" w:asciiTheme="minorEastAsia" w:hAnsiTheme="minorEastAsia" w:cstheme="minorEastAsia"/>
                <w:color w:val="000000" w:themeColor="text1"/>
                <w:kern w:val="0"/>
                <w:sz w:val="20"/>
                <w:szCs w:val="20"/>
              </w:rPr>
              <w:t>含网壳、网架结构工程）；</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（6）</w:t>
            </w:r>
            <w:r>
              <w:rPr>
                <w:rFonts w:hint="eastAsia" w:asciiTheme="minorEastAsia" w:hAnsiTheme="minorEastAsia" w:cstheme="minorEastAsia"/>
                <w:color w:val="000000" w:themeColor="text1"/>
                <w:spacing w:val="-3"/>
                <w:kern w:val="0"/>
                <w:sz w:val="20"/>
                <w:szCs w:val="20"/>
              </w:rPr>
              <w:t>单项建筑造价1亿元以上的建筑工</w:t>
            </w:r>
            <w:r>
              <w:rPr>
                <w:rFonts w:hint="eastAsia" w:asciiTheme="minorEastAsia" w:hAnsiTheme="minorEastAsia" w:cstheme="minorEastAsia"/>
                <w:color w:val="000000" w:themeColor="text1"/>
                <w:kern w:val="0"/>
                <w:sz w:val="20"/>
                <w:szCs w:val="20"/>
              </w:rPr>
              <w:t xml:space="preserve">程；        </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（7）单体钢结构工程钢结构重量5000T以上的钢结构工程；</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（8）网壳、网架结构短边边跨跨度70m以上，且网壳、网架结构重量300T以上，且网壳、网架结构建筑面积5000m</w:t>
            </w:r>
            <w:r>
              <w:rPr>
                <w:rFonts w:hint="eastAsia" w:asciiTheme="minorEastAsia" w:hAnsiTheme="minorEastAsia" w:cstheme="minorEastAsia"/>
                <w:color w:val="000000" w:themeColor="text1"/>
                <w:kern w:val="0"/>
                <w:sz w:val="20"/>
                <w:szCs w:val="20"/>
                <w:vertAlign w:val="superscript"/>
              </w:rPr>
              <w:t>2</w:t>
            </w:r>
            <w:r>
              <w:rPr>
                <w:rFonts w:hint="eastAsia" w:asciiTheme="minorEastAsia" w:hAnsiTheme="minorEastAsia" w:cstheme="minorEastAsia"/>
                <w:color w:val="000000" w:themeColor="text1"/>
                <w:kern w:val="0"/>
                <w:sz w:val="20"/>
                <w:szCs w:val="20"/>
              </w:rPr>
              <w:t>以上的网壳、网架工程。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9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符合下列条件之一 ：</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（1）地上12层以上，25层以下的建筑工程；</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（2）高度50m以上，100m以下的构筑物或建筑物；</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（3）</w:t>
            </w:r>
            <w:r>
              <w:rPr>
                <w:rFonts w:hint="eastAsia" w:asciiTheme="minorEastAsia" w:hAnsiTheme="minorEastAsia" w:cstheme="minorEastAsia"/>
                <w:color w:val="000000" w:themeColor="text1"/>
                <w:spacing w:val="-3"/>
                <w:kern w:val="0"/>
                <w:sz w:val="20"/>
                <w:szCs w:val="20"/>
              </w:rPr>
              <w:t>建筑面积1万m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themeColor="text1"/>
                <w:spacing w:val="-3"/>
                <w:kern w:val="0"/>
                <w:sz w:val="20"/>
                <w:szCs w:val="20"/>
              </w:rPr>
              <w:t>以上，3万m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themeColor="text1"/>
                <w:spacing w:val="-3"/>
                <w:kern w:val="0"/>
                <w:sz w:val="20"/>
                <w:szCs w:val="20"/>
              </w:rPr>
              <w:t>以下</w:t>
            </w:r>
            <w:r>
              <w:rPr>
                <w:rFonts w:hint="eastAsia" w:asciiTheme="minorEastAsia" w:hAnsiTheme="minorEastAsia" w:cstheme="minorEastAsia"/>
                <w:color w:val="000000" w:themeColor="text1"/>
                <w:kern w:val="0"/>
                <w:sz w:val="20"/>
                <w:szCs w:val="20"/>
              </w:rPr>
              <w:t>的单体建筑；</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（4）</w:t>
            </w:r>
            <w:r>
              <w:rPr>
                <w:rFonts w:hint="eastAsia" w:asciiTheme="minorEastAsia" w:hAnsiTheme="minorEastAsia" w:cstheme="minorEastAsia"/>
                <w:color w:val="000000" w:themeColor="text1"/>
                <w:spacing w:val="-4"/>
                <w:kern w:val="0"/>
                <w:sz w:val="20"/>
                <w:szCs w:val="20"/>
              </w:rPr>
              <w:t>钢筋混凝土结构单跨21m以上，30m</w:t>
            </w:r>
            <w:r>
              <w:rPr>
                <w:rFonts w:hint="eastAsia" w:asciiTheme="minorEastAsia" w:hAnsiTheme="minorEastAsia" w:cstheme="minorEastAsia"/>
                <w:color w:val="000000" w:themeColor="text1"/>
                <w:kern w:val="0"/>
                <w:sz w:val="20"/>
                <w:szCs w:val="20"/>
              </w:rPr>
              <w:t>以下的建筑工程；</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（5）钢结构单跨24m以上，36m以下的建筑工程；</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 xml:space="preserve">（6）单项建筑造价3000万元以上，1亿元以下的建筑工程；       </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（7）单体钢结构工程钢结构重量2000T以上，5000T以下的钢结构工程；</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（8）网壳、网架结构短边边跨跨度30m以上，70m以下，且网壳、网架结构重量100T以上，且网壳、网架结构建筑面积1000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themeColor="text1"/>
                <w:kern w:val="0"/>
                <w:sz w:val="20"/>
                <w:szCs w:val="20"/>
              </w:rPr>
              <w:t>以上的网壳、网架工程。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354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符合下列条件之一 ：</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（1）地上4层以上，12层以下的建筑工程；</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（2）高度10m以上，50m以下的构筑物或建筑物；</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（3）建筑面积1000m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以上，1万m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以下的单体建筑；</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（4）</w:t>
            </w:r>
            <w:r>
              <w:rPr>
                <w:rStyle w:val="12"/>
                <w:rFonts w:hint="default" w:asciiTheme="minorEastAsia" w:hAnsiTheme="minorEastAsia" w:eastAsiaTheme="minorEastAsia" w:cstheme="minorEastAsia"/>
                <w:color w:val="000000" w:themeColor="text1"/>
                <w:spacing w:val="3"/>
              </w:rPr>
              <w:t>钢筋混凝土结构单跨18m以上、21m</w:t>
            </w:r>
            <w:r>
              <w:rPr>
                <w:rStyle w:val="12"/>
                <w:rFonts w:hint="default" w:asciiTheme="minorEastAsia" w:hAnsiTheme="minorEastAsia" w:eastAsiaTheme="minorEastAsia" w:cstheme="minorEastAsia"/>
                <w:color w:val="000000" w:themeColor="text1"/>
              </w:rPr>
              <w:t>以下的建筑工程；</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（5）钢结构单跨21m以上，24m以下的建筑工程；</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（6）</w:t>
            </w:r>
            <w:r>
              <w:rPr>
                <w:rStyle w:val="12"/>
                <w:rFonts w:hint="default" w:asciiTheme="minorEastAsia" w:hAnsiTheme="minorEastAsia" w:eastAsiaTheme="minorEastAsia" w:cstheme="minorEastAsia"/>
                <w:color w:val="000000" w:themeColor="text1"/>
                <w:spacing w:val="3"/>
              </w:rPr>
              <w:t>单项建筑造价200万元以上3000万</w:t>
            </w:r>
            <w:r>
              <w:rPr>
                <w:rStyle w:val="12"/>
                <w:rFonts w:hint="default" w:asciiTheme="minorEastAsia" w:hAnsiTheme="minorEastAsia" w:eastAsiaTheme="minorEastAsia" w:cstheme="minorEastAsia"/>
                <w:color w:val="000000" w:themeColor="text1"/>
              </w:rPr>
              <w:t xml:space="preserve">元以下的建筑工程；    </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（7）钢结构重量200T以上，2000T以下，且钢结构建筑面积2000m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以上的钢结构工程；</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（8）</w:t>
            </w:r>
            <w:r>
              <w:rPr>
                <w:rStyle w:val="12"/>
                <w:rFonts w:hint="default" w:asciiTheme="minorEastAsia" w:hAnsiTheme="minorEastAsia" w:eastAsiaTheme="minorEastAsia" w:cstheme="minorEastAsia"/>
                <w:color w:val="000000" w:themeColor="text1"/>
                <w:spacing w:val="3"/>
              </w:rPr>
              <w:t>网壳、网架结构重量20T以上100T</w:t>
            </w:r>
            <w:r>
              <w:rPr>
                <w:rStyle w:val="12"/>
                <w:rFonts w:hint="default" w:asciiTheme="minorEastAsia" w:hAnsiTheme="minorEastAsia" w:eastAsiaTheme="minorEastAsia" w:cstheme="minorEastAsia"/>
                <w:color w:val="000000" w:themeColor="text1"/>
              </w:rPr>
              <w:t>以下，且网壳、网架结构建筑面积200m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以上的网壳，网架工程。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2895"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w:t>
            </w:r>
          </w:p>
          <w:p>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住宅</w:t>
            </w:r>
            <w:r>
              <w:rPr>
                <w:rFonts w:hint="eastAsia" w:asciiTheme="minorEastAsia" w:hAnsiTheme="minorEastAsia" w:cstheme="minorEastAsia"/>
                <w:color w:val="000000" w:themeColor="text1"/>
                <w:kern w:val="0"/>
                <w:sz w:val="20"/>
                <w:szCs w:val="20"/>
              </w:rPr>
              <w:br w:type="textWrapping"/>
            </w:r>
            <w:r>
              <w:rPr>
                <w:rFonts w:hint="eastAsia" w:asciiTheme="minorEastAsia" w:hAnsiTheme="minorEastAsia" w:cstheme="minorEastAsia"/>
                <w:color w:val="000000" w:themeColor="text1"/>
                <w:kern w:val="0"/>
                <w:sz w:val="20"/>
                <w:szCs w:val="20"/>
              </w:rPr>
              <w:t>宿舍</w:t>
            </w:r>
          </w:p>
          <w:p>
            <w:pPr>
              <w:widowControl/>
              <w:spacing w:line="300" w:lineRule="exact"/>
              <w:textAlignment w:val="center"/>
              <w:rPr>
                <w:rFonts w:asciiTheme="minorEastAsia" w:hAnsiTheme="minorEastAsia" w:cstheme="minorEastAsia"/>
                <w:color w:val="000000" w:themeColor="text1"/>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大型</w:t>
            </w:r>
          </w:p>
          <w:p>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12"/>
                <w:rFonts w:hint="default" w:asciiTheme="minorEastAsia" w:hAnsiTheme="minorEastAsia" w:eastAsiaTheme="minorEastAsia" w:cstheme="minorEastAsia"/>
                <w:color w:val="000000" w:themeColor="text1"/>
                <w:spacing w:val="3"/>
              </w:rPr>
            </w:pPr>
            <w:r>
              <w:rPr>
                <w:rFonts w:hint="eastAsia" w:asciiTheme="minorEastAsia" w:hAnsiTheme="minorEastAsia" w:cstheme="minorEastAsia"/>
                <w:color w:val="000000" w:themeColor="text1"/>
                <w:kern w:val="0"/>
                <w:sz w:val="20"/>
                <w:szCs w:val="20"/>
              </w:rPr>
              <w:t>符合下列条件之一 ：</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cstheme="minorEastAsia"/>
                <w:color w:val="000000" w:themeColor="text1"/>
              </w:rPr>
              <w:t>（</w:t>
            </w:r>
            <w:r>
              <w:rPr>
                <w:rStyle w:val="12"/>
                <w:rFonts w:hint="default" w:asciiTheme="minorEastAsia" w:hAnsiTheme="minorEastAsia" w:eastAsiaTheme="minorEastAsia" w:cstheme="minorEastAsia"/>
                <w:color w:val="000000" w:themeColor="text1"/>
              </w:rPr>
              <w:t>1</w:t>
            </w:r>
            <w:r>
              <w:rPr>
                <w:rStyle w:val="12"/>
                <w:rFonts w:hint="default" w:asciiTheme="minorEastAsia" w:hAnsiTheme="minorEastAsia" w:cstheme="minorEastAsia"/>
                <w:color w:val="000000" w:themeColor="text1"/>
              </w:rPr>
              <w:t>）</w:t>
            </w:r>
            <w:r>
              <w:rPr>
                <w:rStyle w:val="12"/>
                <w:rFonts w:hint="default" w:asciiTheme="minorEastAsia" w:hAnsiTheme="minorEastAsia" w:eastAsiaTheme="minorEastAsia" w:cstheme="minorEastAsia"/>
                <w:color w:val="000000" w:themeColor="text1"/>
              </w:rPr>
              <w:t>地上25层以上的住宅建筑；</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spacing w:val="-10"/>
              </w:rPr>
              <w:t>（2）建筑面积3万m</w:t>
            </w:r>
            <w:r>
              <w:rPr>
                <w:rStyle w:val="14"/>
                <w:rFonts w:hint="default" w:asciiTheme="minorEastAsia" w:hAnsiTheme="minorEastAsia" w:eastAsiaTheme="minorEastAsia" w:cstheme="minorEastAsia"/>
                <w:color w:val="000000" w:themeColor="text1"/>
                <w:spacing w:val="-10"/>
              </w:rPr>
              <w:t>2</w:t>
            </w:r>
            <w:r>
              <w:rPr>
                <w:rStyle w:val="12"/>
                <w:rFonts w:hint="default" w:asciiTheme="minorEastAsia" w:hAnsiTheme="minorEastAsia" w:eastAsiaTheme="minorEastAsia" w:cstheme="minorEastAsia"/>
                <w:color w:val="000000" w:themeColor="text1"/>
                <w:spacing w:val="-10"/>
              </w:rPr>
              <w:t>以上的单体住宅建筑；</w:t>
            </w:r>
            <w:r>
              <w:rPr>
                <w:rStyle w:val="12"/>
                <w:rFonts w:hint="default" w:asciiTheme="minorEastAsia" w:hAnsiTheme="minorEastAsia" w:eastAsiaTheme="minorEastAsia" w:cstheme="minorEastAsia"/>
                <w:color w:val="000000" w:themeColor="text1"/>
                <w:spacing w:val="-10"/>
              </w:rPr>
              <w:br w:type="textWrapping"/>
            </w:r>
            <w:r>
              <w:rPr>
                <w:rStyle w:val="12"/>
                <w:rFonts w:hint="default" w:asciiTheme="minorEastAsia" w:hAnsiTheme="minorEastAsia" w:eastAsiaTheme="minorEastAsia" w:cstheme="minorEastAsia"/>
                <w:color w:val="000000" w:themeColor="text1"/>
                <w:spacing w:val="-10"/>
              </w:rPr>
              <w:t>（3）单项建筑造价1亿元以上的住宅建筑；</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（4）建筑面积30万m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以上的住宅小区或建筑群体工程；</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（5）单体钢结构工程钢结构重量5000T以上的钢结构工程。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3545"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12"/>
                <w:rFonts w:hint="default" w:asciiTheme="minorEastAsia" w:hAnsiTheme="minorEastAsia" w:eastAsiaTheme="minorEastAsia" w:cstheme="minorEastAsia"/>
                <w:color w:val="000000" w:themeColor="text1"/>
                <w:spacing w:val="3"/>
              </w:rPr>
            </w:pPr>
            <w:r>
              <w:rPr>
                <w:rFonts w:hint="eastAsia" w:asciiTheme="minorEastAsia" w:hAnsiTheme="minorEastAsia" w:cstheme="minorEastAsia"/>
                <w:color w:val="000000" w:themeColor="text1"/>
                <w:kern w:val="0"/>
                <w:sz w:val="20"/>
                <w:szCs w:val="20"/>
              </w:rPr>
              <w:t>符合下列条件之一 ：</w:t>
            </w:r>
            <w:r>
              <w:rPr>
                <w:rStyle w:val="16"/>
                <w:rFonts w:hint="default" w:asciiTheme="minorEastAsia" w:hAnsiTheme="minorEastAsia" w:eastAsiaTheme="minorEastAsia" w:cstheme="minorEastAsia"/>
                <w:color w:val="000000" w:themeColor="text1"/>
              </w:rPr>
              <w:br w:type="textWrapping"/>
            </w:r>
            <w:r>
              <w:rPr>
                <w:rStyle w:val="16"/>
                <w:rFonts w:hint="default" w:asciiTheme="minorEastAsia" w:hAnsiTheme="minorEastAsia" w:eastAsiaTheme="minorEastAsia" w:cstheme="minorEastAsia"/>
                <w:color w:val="000000" w:themeColor="text1"/>
              </w:rPr>
              <w:t>（1）地上12层以上、25层以下的住宅建筑；</w:t>
            </w:r>
            <w:r>
              <w:rPr>
                <w:rStyle w:val="16"/>
                <w:rFonts w:hint="default" w:asciiTheme="minorEastAsia" w:hAnsiTheme="minorEastAsia" w:eastAsiaTheme="minorEastAsia" w:cstheme="minorEastAsia"/>
                <w:color w:val="000000" w:themeColor="text1"/>
              </w:rPr>
              <w:br w:type="textWrapping"/>
            </w:r>
            <w:r>
              <w:rPr>
                <w:rStyle w:val="16"/>
                <w:rFonts w:hint="default" w:asciiTheme="minorEastAsia" w:hAnsiTheme="minorEastAsia" w:eastAsiaTheme="minorEastAsia" w:cstheme="minorEastAsia"/>
                <w:color w:val="000000" w:themeColor="text1"/>
              </w:rPr>
              <w:t>（2）建筑面积1万m</w:t>
            </w:r>
            <w:r>
              <w:rPr>
                <w:rStyle w:val="17"/>
                <w:rFonts w:hint="default" w:asciiTheme="minorEastAsia" w:hAnsiTheme="minorEastAsia" w:eastAsiaTheme="minorEastAsia" w:cstheme="minorEastAsia"/>
                <w:color w:val="000000" w:themeColor="text1"/>
              </w:rPr>
              <w:t>2</w:t>
            </w:r>
            <w:r>
              <w:rPr>
                <w:rStyle w:val="16"/>
                <w:rFonts w:hint="default" w:asciiTheme="minorEastAsia" w:hAnsiTheme="minorEastAsia" w:eastAsiaTheme="minorEastAsia" w:cstheme="minorEastAsia"/>
                <w:color w:val="000000" w:themeColor="text1"/>
              </w:rPr>
              <w:t>以上、3万m</w:t>
            </w:r>
            <w:r>
              <w:rPr>
                <w:rStyle w:val="17"/>
                <w:rFonts w:hint="default" w:asciiTheme="minorEastAsia" w:hAnsiTheme="minorEastAsia" w:eastAsiaTheme="minorEastAsia" w:cstheme="minorEastAsia"/>
                <w:color w:val="000000" w:themeColor="text1"/>
              </w:rPr>
              <w:t>2</w:t>
            </w:r>
            <w:r>
              <w:rPr>
                <w:rStyle w:val="16"/>
                <w:rFonts w:hint="default" w:asciiTheme="minorEastAsia" w:hAnsiTheme="minorEastAsia" w:eastAsiaTheme="minorEastAsia" w:cstheme="minorEastAsia"/>
                <w:color w:val="000000" w:themeColor="text1"/>
              </w:rPr>
              <w:t>以下的单体住宅建筑；</w:t>
            </w:r>
            <w:r>
              <w:rPr>
                <w:rStyle w:val="16"/>
                <w:rFonts w:hint="default" w:asciiTheme="minorEastAsia" w:hAnsiTheme="minorEastAsia" w:eastAsiaTheme="minorEastAsia" w:cstheme="minorEastAsia"/>
                <w:color w:val="000000" w:themeColor="text1"/>
              </w:rPr>
              <w:br w:type="textWrapping"/>
            </w:r>
            <w:r>
              <w:rPr>
                <w:rStyle w:val="16"/>
                <w:rFonts w:hint="default" w:asciiTheme="minorEastAsia" w:hAnsiTheme="minorEastAsia" w:eastAsiaTheme="minorEastAsia" w:cstheme="minorEastAsia"/>
                <w:color w:val="000000" w:themeColor="text1"/>
              </w:rPr>
              <w:t>（3）单项建筑造价3000万元以上、1亿元以下的住宅建筑；</w:t>
            </w:r>
            <w:r>
              <w:rPr>
                <w:rStyle w:val="16"/>
                <w:rFonts w:hint="default" w:asciiTheme="minorEastAsia" w:hAnsiTheme="minorEastAsia" w:eastAsiaTheme="minorEastAsia" w:cstheme="minorEastAsia"/>
                <w:color w:val="000000" w:themeColor="text1"/>
              </w:rPr>
              <w:br w:type="textWrapping"/>
            </w:r>
            <w:r>
              <w:rPr>
                <w:rStyle w:val="16"/>
                <w:rFonts w:hint="default" w:asciiTheme="minorEastAsia" w:hAnsiTheme="minorEastAsia" w:eastAsiaTheme="minorEastAsia" w:cstheme="minorEastAsia"/>
                <w:color w:val="000000" w:themeColor="text1"/>
              </w:rPr>
              <w:t>（4）建筑面积20万m</w:t>
            </w:r>
            <w:r>
              <w:rPr>
                <w:rStyle w:val="17"/>
                <w:rFonts w:hint="default" w:asciiTheme="minorEastAsia" w:hAnsiTheme="minorEastAsia" w:eastAsiaTheme="minorEastAsia" w:cstheme="minorEastAsia"/>
                <w:color w:val="000000" w:themeColor="text1"/>
              </w:rPr>
              <w:t>2</w:t>
            </w:r>
            <w:r>
              <w:rPr>
                <w:rStyle w:val="17"/>
                <w:rFonts w:hint="default" w:asciiTheme="minorEastAsia" w:hAnsiTheme="minorEastAsia" w:eastAsiaTheme="minorEastAsia" w:cstheme="minorEastAsia"/>
                <w:color w:val="000000" w:themeColor="text1"/>
                <w:vertAlign w:val="baseline"/>
              </w:rPr>
              <w:t>以上、30万</w:t>
            </w:r>
            <w:r>
              <w:rPr>
                <w:rStyle w:val="16"/>
                <w:rFonts w:hint="default" w:asciiTheme="minorEastAsia" w:hAnsiTheme="minorEastAsia" w:eastAsiaTheme="minorEastAsia" w:cstheme="minorEastAsia"/>
                <w:color w:val="000000" w:themeColor="text1"/>
              </w:rPr>
              <w:t>m</w:t>
            </w:r>
            <w:r>
              <w:rPr>
                <w:rStyle w:val="17"/>
                <w:rFonts w:hint="default" w:asciiTheme="minorEastAsia" w:hAnsiTheme="minorEastAsia" w:eastAsiaTheme="minorEastAsia" w:cstheme="minorEastAsia"/>
                <w:color w:val="000000" w:themeColor="text1"/>
              </w:rPr>
              <w:t>2</w:t>
            </w:r>
            <w:r>
              <w:rPr>
                <w:rStyle w:val="17"/>
                <w:rFonts w:hint="default" w:asciiTheme="minorEastAsia" w:hAnsiTheme="minorEastAsia" w:eastAsiaTheme="minorEastAsia" w:cstheme="minorEastAsia"/>
                <w:color w:val="000000" w:themeColor="text1"/>
                <w:vertAlign w:val="baseline"/>
              </w:rPr>
              <w:t>以下的住宅小区或建筑群体工程；</w:t>
            </w:r>
            <w:r>
              <w:rPr>
                <w:rStyle w:val="17"/>
                <w:rFonts w:hint="default" w:asciiTheme="minorEastAsia" w:hAnsiTheme="minorEastAsia" w:eastAsiaTheme="minorEastAsia" w:cstheme="minorEastAsia"/>
                <w:color w:val="000000" w:themeColor="text1"/>
                <w:vertAlign w:val="baseline"/>
              </w:rPr>
              <w:br w:type="textWrapping"/>
            </w:r>
            <w:r>
              <w:rPr>
                <w:rStyle w:val="18"/>
                <w:rFonts w:hint="default" w:asciiTheme="minorEastAsia" w:hAnsiTheme="minorEastAsia" w:eastAsiaTheme="minorEastAsia" w:cstheme="minorEastAsia"/>
                <w:color w:val="000000" w:themeColor="text1"/>
                <w:sz w:val="20"/>
                <w:szCs w:val="20"/>
                <w:vertAlign w:val="baseline"/>
              </w:rPr>
              <w:t>（5）单体钢结构工程钢结构重量2000T以上、5000T以下的钢结构工程。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3545"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12"/>
                <w:rFonts w:hint="default" w:asciiTheme="minorEastAsia" w:hAnsiTheme="minorEastAsia" w:eastAsiaTheme="minorEastAsia" w:cstheme="minorEastAsia"/>
                <w:color w:val="000000" w:themeColor="text1"/>
              </w:rPr>
            </w:pPr>
            <w:r>
              <w:rPr>
                <w:rFonts w:hint="eastAsia" w:asciiTheme="minorEastAsia" w:hAnsiTheme="minorEastAsia" w:cstheme="minorEastAsia"/>
                <w:color w:val="000000" w:themeColor="text1"/>
                <w:kern w:val="0"/>
                <w:sz w:val="20"/>
                <w:szCs w:val="20"/>
              </w:rPr>
              <w:t>符合下列条件之一 ：</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（1）地上4层以上12层以下的住宅建筑；</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（2）建筑面积1000m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以上，1万m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以下的单体住宅建筑；</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（3）单项建筑造价200万元以上，3000万元以下的住宅建筑；</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（4）建筑面积10万m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以上，20万m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以下的住宅小区或建筑群体工程；</w:t>
            </w:r>
            <w:r>
              <w:rPr>
                <w:rStyle w:val="12"/>
                <w:rFonts w:hint="default" w:asciiTheme="minorEastAsia" w:hAnsiTheme="minorEastAsia" w:eastAsiaTheme="minorEastAsia" w:cstheme="minorEastAsia"/>
                <w:color w:val="000000" w:themeColor="text1"/>
              </w:rPr>
              <w:br w:type="textWrapping"/>
            </w:r>
            <w:r>
              <w:rPr>
                <w:rStyle w:val="12"/>
                <w:rFonts w:hint="default" w:asciiTheme="minorEastAsia" w:hAnsiTheme="minorEastAsia" w:eastAsiaTheme="minorEastAsia" w:cstheme="minorEastAsia"/>
                <w:color w:val="000000" w:themeColor="text1"/>
              </w:rPr>
              <w:t>（5）</w:t>
            </w:r>
            <w:r>
              <w:rPr>
                <w:rStyle w:val="12"/>
                <w:rFonts w:hint="default" w:asciiTheme="minorEastAsia" w:hAnsiTheme="minorEastAsia" w:eastAsiaTheme="minorEastAsia" w:cstheme="minorEastAsia"/>
                <w:color w:val="000000" w:themeColor="text1"/>
                <w:spacing w:val="-2"/>
              </w:rPr>
              <w:t>钢结构重量200T以上2000T以下，</w:t>
            </w:r>
            <w:r>
              <w:rPr>
                <w:rStyle w:val="12"/>
                <w:rFonts w:hint="default" w:asciiTheme="minorEastAsia" w:hAnsiTheme="minorEastAsia" w:eastAsiaTheme="minorEastAsia" w:cstheme="minorEastAsia"/>
                <w:color w:val="000000" w:themeColor="text1"/>
              </w:rPr>
              <w:t>且钢结构建筑面积2000m</w:t>
            </w:r>
            <w:r>
              <w:rPr>
                <w:rStyle w:val="14"/>
                <w:rFonts w:hint="default" w:asciiTheme="minorEastAsia" w:hAnsiTheme="minorEastAsia" w:eastAsiaTheme="minorEastAsia" w:cstheme="minorEastAsia"/>
                <w:color w:val="000000" w:themeColor="text1"/>
              </w:rPr>
              <w:t>2</w:t>
            </w:r>
            <w:r>
              <w:rPr>
                <w:rStyle w:val="12"/>
                <w:rFonts w:hint="default" w:asciiTheme="minorEastAsia" w:hAnsiTheme="minorEastAsia" w:eastAsiaTheme="minorEastAsia" w:cstheme="minorEastAsia"/>
                <w:color w:val="000000" w:themeColor="text1"/>
              </w:rPr>
              <w: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二、建筑学专业</w:t>
      </w:r>
    </w:p>
    <w:tbl>
      <w:tblPr>
        <w:tblStyle w:val="7"/>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567"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备注</w:t>
            </w:r>
          </w:p>
        </w:tc>
      </w:tr>
      <w:tr>
        <w:tblPrEx>
          <w:tblCellMar>
            <w:top w:w="113" w:type="dxa"/>
            <w:left w:w="57" w:type="dxa"/>
            <w:bottom w:w="57" w:type="dxa"/>
            <w:right w:w="57" w:type="dxa"/>
          </w:tblCellMar>
        </w:tblPrEx>
        <w:trPr>
          <w:trHeight w:val="1888"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kern w:val="0"/>
                <w:sz w:val="20"/>
                <w:szCs w:val="20"/>
              </w:rPr>
              <w:t>1</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kern w:val="0"/>
                <w:sz w:val="20"/>
                <w:szCs w:val="20"/>
              </w:rPr>
              <w:t>一般公共建筑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kern w:val="0"/>
                <w:sz w:val="20"/>
                <w:szCs w:val="20"/>
              </w:rPr>
              <w:t>符合下列条件之一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（1）地上25层以上的建筑；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（2）高度100m以上的构筑物或建筑物；</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（3）建筑面积3万m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以上的单体建筑；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 xml:space="preserve">（4）单项建筑造价1亿元以上的建筑工程；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（5）单体钢结构工程钢结构重量5000T以上的钢结构工程。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928"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Style w:val="19"/>
                <w:rFonts w:hint="default" w:asciiTheme="minorEastAsia" w:hAnsiTheme="minorEastAsia" w:eastAsiaTheme="minorEastAsia" w:cstheme="minorEastAsia"/>
                <w:color w:val="auto"/>
                <w:sz w:val="20"/>
                <w:szCs w:val="20"/>
              </w:rPr>
            </w:pPr>
            <w:r>
              <w:rPr>
                <w:rFonts w:hint="eastAsia" w:asciiTheme="minorEastAsia" w:hAnsiTheme="minorEastAsia" w:cstheme="minorEastAsia"/>
                <w:kern w:val="0"/>
                <w:sz w:val="20"/>
                <w:szCs w:val="20"/>
              </w:rPr>
              <w:t>符合下列条件之一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（1）地上12层以上，25层以下的建筑工程；</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（2）高度50m以上，100m以下的构筑物或建筑物；</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（3）建筑面积1万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Style w:val="19"/>
                <w:rFonts w:hint="default" w:asciiTheme="minorEastAsia" w:hAnsiTheme="minorEastAsia" w:eastAsiaTheme="minorEastAsia" w:cstheme="minorEastAsia"/>
                <w:color w:val="auto"/>
                <w:sz w:val="20"/>
                <w:szCs w:val="20"/>
              </w:rPr>
              <w:t>以上，3万m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以下的单体建筑；</w:t>
            </w:r>
          </w:p>
          <w:p>
            <w:pPr>
              <w:widowControl/>
              <w:spacing w:line="280" w:lineRule="exact"/>
              <w:textAlignment w:val="center"/>
              <w:rPr>
                <w:rStyle w:val="19"/>
                <w:rFonts w:hint="default" w:asciiTheme="minorEastAsia" w:hAnsiTheme="minorEastAsia" w:eastAsiaTheme="minorEastAsia" w:cstheme="minorEastAsia"/>
                <w:color w:val="auto"/>
                <w:sz w:val="20"/>
                <w:szCs w:val="20"/>
              </w:rPr>
            </w:pPr>
            <w:r>
              <w:rPr>
                <w:rStyle w:val="19"/>
                <w:rFonts w:hint="default" w:asciiTheme="minorEastAsia" w:hAnsiTheme="minorEastAsia" w:eastAsiaTheme="minorEastAsia" w:cstheme="minorEastAsia"/>
                <w:color w:val="auto"/>
                <w:sz w:val="20"/>
                <w:szCs w:val="20"/>
              </w:rPr>
              <w:t xml:space="preserve">（4）单项建筑造价3000万元以上，1亿元以下的建筑工程；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（5）单体钢结构工程钢结构重量2000T以上，5000T以下的钢结构工程。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98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p>
            <w:pPr>
              <w:widowControl/>
              <w:spacing w:line="220" w:lineRule="exact"/>
              <w:jc w:val="center"/>
              <w:textAlignment w:val="center"/>
              <w:rPr>
                <w:rFonts w:asciiTheme="minorEastAsia" w:hAnsiTheme="minorEastAsia" w:cstheme="minorEastAsia"/>
                <w:kern w:val="0"/>
                <w:sz w:val="20"/>
                <w:szCs w:val="20"/>
              </w:rPr>
            </w:pP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19"/>
                <w:rFonts w:hint="default" w:asciiTheme="minorEastAsia" w:hAnsiTheme="minorEastAsia" w:eastAsiaTheme="minorEastAsia" w:cstheme="minorEastAsia"/>
                <w:color w:val="auto"/>
                <w:sz w:val="20"/>
                <w:szCs w:val="20"/>
              </w:rPr>
            </w:pPr>
            <w:r>
              <w:rPr>
                <w:rFonts w:hint="eastAsia" w:asciiTheme="minorEastAsia" w:hAnsiTheme="minorEastAsia" w:cstheme="minorEastAsia"/>
                <w:kern w:val="0"/>
                <w:sz w:val="20"/>
                <w:szCs w:val="20"/>
              </w:rPr>
              <w:t>符合下列条件之一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（1）地上4层以上，12层以下的建筑工程；</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（2）高度10m以上，50m以下的构筑物或建筑物；</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（3）建筑面积0.1万m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以下的单体建筑；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 xml:space="preserve">（4）单项建筑造价200万元以上，3000万元以下的建筑工程；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（5）钢结构重量200T以上，2000T以下，且钢结构建筑面积2000m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883"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住宅</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宿舍</w:t>
            </w:r>
          </w:p>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（1）地上25层以上的住宅建筑；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（2）建筑面积3万m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以上的单体住宅建筑；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（3）</w:t>
            </w:r>
            <w:r>
              <w:rPr>
                <w:rStyle w:val="19"/>
                <w:rFonts w:hint="default" w:asciiTheme="minorEastAsia" w:hAnsiTheme="minorEastAsia" w:eastAsiaTheme="minorEastAsia" w:cstheme="minorEastAsia"/>
                <w:color w:val="auto"/>
                <w:spacing w:val="3"/>
                <w:sz w:val="20"/>
                <w:szCs w:val="20"/>
              </w:rPr>
              <w:t>单项建筑造价1亿元以上的住宅建筑；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（4）建筑面积30万m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以上的住宅小区或建筑群体工程；</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（5）单体钢结构工程钢结构重量5000T以上的钢结构工程。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75"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（1）地上12层以上，25层以下的住宅建筑；</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（2）建筑面积1万m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以上，3万m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以下的单体住宅建筑；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（3）单项建筑造价3000万元以上，1亿元以下的住宅建筑；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（4）建筑面积20万m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以上、30万m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以下的住宅小区或建筑群体工程；</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（5）单体钢结构工程钢结构重量2000T以上、5000T以下的钢结构工程。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928"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（1）地上4层以上，12层以下的住宅建筑；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（2）建筑面积1000m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以下的单体住宅建筑；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（3）单项建筑造价200万元以上，3000万元以下的屋住宅建筑；</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（4）建筑面积10万m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以上，20万m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以下的住宅小区或建筑群体工程；</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（5）钢结构重量200T以上，2000T以下，且钢结构建筑面积2000m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exac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地下</w:t>
            </w:r>
          </w:p>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单项地下空间建筑面积3万m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以上的工程。</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40" w:lineRule="exact"/>
              <w:jc w:val="center"/>
              <w:textAlignment w:val="center"/>
              <w:rPr>
                <w:rFonts w:asciiTheme="minorEastAsia" w:hAnsiTheme="minorEastAsia" w:cstheme="minorEastAsia"/>
                <w:kern w:val="0"/>
                <w:sz w:val="20"/>
                <w:szCs w:val="20"/>
              </w:rPr>
            </w:pPr>
          </w:p>
          <w:p>
            <w:pPr>
              <w:widowControl/>
              <w:spacing w:line="280" w:lineRule="exact"/>
              <w:jc w:val="center"/>
              <w:textAlignment w:val="center"/>
              <w:rPr>
                <w:rFonts w:asciiTheme="minorEastAsia" w:hAnsiTheme="minorEastAsia" w:cstheme="minorEastAsia"/>
                <w:kern w:val="0"/>
                <w:sz w:val="20"/>
                <w:szCs w:val="20"/>
              </w:rPr>
            </w:pPr>
          </w:p>
          <w:p>
            <w:pPr>
              <w:widowControl/>
              <w:spacing w:line="220" w:lineRule="exact"/>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单项地下空间建筑面积1万m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以上、3万m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以下的工程。</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单项地下空间建筑面积1000m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以下的工程。</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4</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人防</w:t>
            </w:r>
          </w:p>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符合下列条件之一 ：                       </w:t>
            </w:r>
          </w:p>
          <w:p>
            <w:pPr>
              <w:widowControl/>
              <w:spacing w:line="280" w:lineRule="exact"/>
              <w:textAlignment w:val="center"/>
              <w:rPr>
                <w:rFonts w:asciiTheme="minorEastAsia" w:hAnsiTheme="minorEastAsia" w:cstheme="minorEastAsia"/>
                <w:kern w:val="0"/>
                <w:sz w:val="20"/>
                <w:szCs w:val="20"/>
              </w:rPr>
            </w:pPr>
            <w:r>
              <w:rPr>
                <w:rStyle w:val="19"/>
                <w:rFonts w:hint="default" w:asciiTheme="minorEastAsia" w:hAnsiTheme="minorEastAsia" w:eastAsiaTheme="minorEastAsia" w:cstheme="minorEastAsia"/>
                <w:color w:val="auto"/>
                <w:sz w:val="20"/>
                <w:szCs w:val="20"/>
              </w:rPr>
              <w:t>（1）</w:t>
            </w:r>
            <w:r>
              <w:rPr>
                <w:rStyle w:val="19"/>
                <w:rFonts w:hint="default" w:asciiTheme="minorEastAsia" w:hAnsiTheme="minorEastAsia" w:eastAsiaTheme="minorEastAsia" w:cstheme="minorEastAsia"/>
                <w:color w:val="auto"/>
                <w:spacing w:val="-6"/>
                <w:sz w:val="20"/>
                <w:szCs w:val="20"/>
              </w:rPr>
              <w:t>附建式人防,防护等级四级及以上；</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（2）人防总建筑面积1万m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 xml:space="preserve">以上；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（3）人防工程造价2500万元以上。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19"/>
                <w:rFonts w:hint="default" w:asciiTheme="minorEastAsia" w:hAnsiTheme="minorEastAsia" w:eastAsiaTheme="minorEastAsia" w:cstheme="minorEastAsia"/>
                <w:color w:val="auto"/>
                <w:sz w:val="20"/>
                <w:szCs w:val="20"/>
              </w:rPr>
            </w:pPr>
            <w:r>
              <w:rPr>
                <w:rFonts w:hint="eastAsia" w:asciiTheme="minorEastAsia" w:hAnsiTheme="minorEastAsia" w:cstheme="minorEastAsia"/>
                <w:kern w:val="0"/>
                <w:sz w:val="20"/>
                <w:szCs w:val="20"/>
              </w:rPr>
              <w:t>符合下列条件之一 ：</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（1）</w:t>
            </w:r>
            <w:r>
              <w:rPr>
                <w:rStyle w:val="19"/>
                <w:rFonts w:hint="default" w:asciiTheme="minorEastAsia" w:hAnsiTheme="minorEastAsia" w:eastAsiaTheme="minorEastAsia" w:cstheme="minorEastAsia"/>
                <w:color w:val="auto"/>
                <w:spacing w:val="-6"/>
                <w:sz w:val="20"/>
                <w:szCs w:val="20"/>
              </w:rPr>
              <w:t>附建式人防,防护等级不低于五级；</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（2）人防总建筑面积5000m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以上，1万m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w:t>
            </w:r>
          </w:p>
          <w:p>
            <w:pPr>
              <w:widowControl/>
              <w:spacing w:line="280" w:lineRule="exact"/>
              <w:textAlignment w:val="center"/>
              <w:rPr>
                <w:rFonts w:asciiTheme="minorEastAsia" w:hAnsiTheme="minorEastAsia" w:cstheme="minorEastAsia"/>
                <w:kern w:val="0"/>
                <w:sz w:val="20"/>
                <w:szCs w:val="20"/>
              </w:rPr>
            </w:pPr>
            <w:r>
              <w:rPr>
                <w:rStyle w:val="19"/>
                <w:rFonts w:hint="default" w:asciiTheme="minorEastAsia" w:hAnsiTheme="minorEastAsia" w:eastAsiaTheme="minorEastAsia" w:cstheme="minorEastAsia"/>
                <w:color w:val="auto"/>
                <w:sz w:val="20"/>
                <w:szCs w:val="20"/>
              </w:rPr>
              <w:t>（3）人防工程造价1200万元以上，2500万元以下。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p>
          <w:p>
            <w:pPr>
              <w:widowControl/>
              <w:spacing w:line="280" w:lineRule="exact"/>
              <w:textAlignment w:val="center"/>
              <w:rPr>
                <w:rFonts w:asciiTheme="minorEastAsia" w:hAnsiTheme="minorEastAsia" w:cstheme="minorEastAsia"/>
                <w:kern w:val="0"/>
                <w:sz w:val="20"/>
                <w:szCs w:val="20"/>
              </w:rPr>
            </w:pPr>
            <w:r>
              <w:rPr>
                <w:rStyle w:val="19"/>
                <w:rFonts w:hint="default" w:asciiTheme="minorEastAsia" w:hAnsiTheme="minorEastAsia" w:eastAsiaTheme="minorEastAsia" w:cstheme="minorEastAsia"/>
                <w:color w:val="auto"/>
                <w:sz w:val="20"/>
                <w:szCs w:val="20"/>
              </w:rPr>
              <w:t>（1）人防总建筑面积1000m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以上，5000m</w:t>
            </w:r>
            <w:r>
              <w:rPr>
                <w:rStyle w:val="20"/>
                <w:rFonts w:hint="default" w:asciiTheme="minorEastAsia" w:hAnsiTheme="minorEastAsia" w:eastAsiaTheme="minorEastAsia" w:cstheme="minorEastAsia"/>
                <w:color w:val="auto"/>
                <w:sz w:val="20"/>
                <w:szCs w:val="20"/>
              </w:rPr>
              <w:t>2</w:t>
            </w:r>
            <w:r>
              <w:rPr>
                <w:rStyle w:val="19"/>
                <w:rFonts w:hint="default" w:asciiTheme="minorEastAsia" w:hAnsiTheme="minorEastAsia" w:eastAsiaTheme="minorEastAsia" w:cstheme="minorEastAsia"/>
                <w:color w:val="auto"/>
                <w:sz w:val="20"/>
                <w:szCs w:val="20"/>
              </w:rPr>
              <w:t>以下；</w:t>
            </w:r>
            <w:r>
              <w:rPr>
                <w:rStyle w:val="19"/>
                <w:rFonts w:hint="default" w:asciiTheme="minorEastAsia" w:hAnsiTheme="minorEastAsia" w:eastAsiaTheme="minorEastAsia" w:cstheme="minorEastAsia"/>
                <w:color w:val="auto"/>
                <w:sz w:val="20"/>
                <w:szCs w:val="20"/>
              </w:rPr>
              <w:br w:type="textWrapping"/>
            </w:r>
            <w:r>
              <w:rPr>
                <w:rStyle w:val="19"/>
                <w:rFonts w:hint="default" w:asciiTheme="minorEastAsia" w:hAnsiTheme="minorEastAsia" w:eastAsiaTheme="minorEastAsia" w:cstheme="minorEastAsia"/>
                <w:color w:val="auto"/>
                <w:sz w:val="20"/>
                <w:szCs w:val="20"/>
              </w:rPr>
              <w:t>（2）人防工程造价300万元以上，1</w:t>
            </w:r>
            <w:r>
              <w:rPr>
                <w:rStyle w:val="19"/>
                <w:rFonts w:hint="default" w:asciiTheme="minorEastAsia" w:hAnsiTheme="minorEastAsia" w:cstheme="minorEastAsia"/>
                <w:color w:val="auto"/>
                <w:sz w:val="20"/>
                <w:szCs w:val="20"/>
              </w:rPr>
              <w:t>20</w:t>
            </w:r>
            <w:r>
              <w:rPr>
                <w:rStyle w:val="19"/>
                <w:rFonts w:hint="default" w:asciiTheme="minorEastAsia" w:hAnsiTheme="minorEastAsia" w:eastAsiaTheme="minorEastAsia" w:cstheme="minorEastAsia"/>
                <w:color w:val="auto"/>
                <w:sz w:val="20"/>
                <w:szCs w:val="20"/>
              </w:rPr>
              <w:t>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5</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装饰装修工程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单项装饰装修工程合同额1500万元以上。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单项装饰装修工程合同额500万元以上，1500万元以下。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单项装饰装修工程合同额80万元以上，500万元以下。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spacing w:line="540" w:lineRule="exact"/>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三、工程造价专业</w:t>
      </w:r>
    </w:p>
    <w:tbl>
      <w:tblPr>
        <w:tblStyle w:val="7"/>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567" w:hRule="exac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备注</w:t>
            </w:r>
          </w:p>
        </w:tc>
      </w:tr>
      <w:tr>
        <w:tblPrEx>
          <w:tblCellMar>
            <w:top w:w="113" w:type="dxa"/>
            <w:left w:w="57" w:type="dxa"/>
            <w:bottom w:w="57" w:type="dxa"/>
            <w:right w:w="57" w:type="dxa"/>
          </w:tblCellMar>
        </w:tblPrEx>
        <w:trPr>
          <w:trHeight w:val="194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kern w:val="0"/>
                <w:sz w:val="20"/>
                <w:szCs w:val="20"/>
              </w:rPr>
              <w:t>1</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kern w:val="0"/>
                <w:sz w:val="20"/>
                <w:szCs w:val="20"/>
              </w:rPr>
              <w:t>一般公共建筑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（1）地上25层以上的建筑；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（2）高度100m以上的构筑物或建筑物；</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（3）建筑面积3万m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以上的单体建筑；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（4）钢筋混凝土结构单跨30m以上的建筑工程；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（5）钢结构单跨36m以上的建筑工程；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（6）单项建筑造价1亿元以上的建筑工程。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（1）地上12层以上，25层以下的建筑工程；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（2）高度50m以上，100m以下的构筑物或建筑物；</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3"/>
                <w:kern w:val="0"/>
                <w:sz w:val="20"/>
                <w:szCs w:val="20"/>
              </w:rPr>
              <w:t>钢筋混凝土结构单跨21m以上，30m</w:t>
            </w:r>
            <w:r>
              <w:rPr>
                <w:rFonts w:hint="eastAsia" w:asciiTheme="minorEastAsia" w:hAnsiTheme="minorEastAsia" w:cstheme="minorEastAsia"/>
                <w:color w:val="000000"/>
                <w:kern w:val="0"/>
                <w:sz w:val="20"/>
                <w:szCs w:val="20"/>
              </w:rPr>
              <w:t>以下的建筑工程；</w:t>
            </w:r>
          </w:p>
          <w:p>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钢结构单跨24m以上，36m以下的建筑工程；</w:t>
            </w:r>
          </w:p>
          <w:p>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单项建筑造价3000万元以上、1亿元以下的房屋建筑工程。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（1）地上4层以上，12层以下的建筑工程；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（2）高度10m以上，50m以下的构筑物或建筑物；</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（3）建筑面积1000m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3"/>
                <w:kern w:val="0"/>
                <w:sz w:val="20"/>
                <w:szCs w:val="20"/>
              </w:rPr>
              <w:t>钢筋混凝土结构单跨18m以上，21m</w:t>
            </w:r>
            <w:r>
              <w:rPr>
                <w:rFonts w:hint="eastAsia" w:asciiTheme="minorEastAsia" w:hAnsiTheme="minorEastAsia" w:cstheme="minorEastAsia"/>
                <w:color w:val="000000"/>
                <w:kern w:val="0"/>
                <w:sz w:val="20"/>
                <w:szCs w:val="20"/>
              </w:rPr>
              <w:t>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（5）钢结构单跨21m以上，24m以下的建筑工程；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（6）单项建筑造价200万元以上、3000万元以下的房屋建筑工程。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住宅</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宿舍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b/>
                <w:bCs/>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（1）地上25层以上的住宅建筑；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（2）建筑面积3万m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以上的单体住宅建筑；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8"/>
                <w:kern w:val="0"/>
                <w:sz w:val="20"/>
                <w:szCs w:val="20"/>
              </w:rPr>
              <w:t>钢筋混凝土结构单跨30m以上的住</w:t>
            </w:r>
            <w:r>
              <w:rPr>
                <w:rFonts w:hint="eastAsia" w:asciiTheme="minorEastAsia" w:hAnsiTheme="minorEastAsia" w:cstheme="minorEastAsia"/>
                <w:color w:val="000000"/>
                <w:kern w:val="0"/>
                <w:sz w:val="20"/>
                <w:szCs w:val="20"/>
              </w:rPr>
              <w:t>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（4）钢结构单跨36m以上的住宅建筑；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w:t>
            </w:r>
            <w:r>
              <w:rPr>
                <w:rFonts w:hint="eastAsia" w:asciiTheme="minorEastAsia" w:hAnsiTheme="minorEastAsia" w:cstheme="minorEastAsia"/>
                <w:color w:val="000000"/>
                <w:spacing w:val="5"/>
                <w:kern w:val="0"/>
                <w:sz w:val="20"/>
                <w:szCs w:val="20"/>
              </w:rPr>
              <w:t>单项建筑造价1亿元以上的住宅建</w:t>
            </w:r>
            <w:r>
              <w:rPr>
                <w:rFonts w:hint="eastAsia" w:asciiTheme="minorEastAsia" w:hAnsiTheme="minorEastAsia" w:cstheme="minorEastAsia"/>
                <w:color w:val="000000"/>
                <w:kern w:val="0"/>
                <w:sz w:val="20"/>
                <w:szCs w:val="20"/>
              </w:rPr>
              <w:t>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（6）建筑面积30万m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以上的住宅小区或建筑群体工程。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（1）地上12层以上、25层以下的住宅建筑；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3"/>
                <w:kern w:val="0"/>
                <w:sz w:val="20"/>
                <w:szCs w:val="20"/>
              </w:rPr>
              <w:t>钢筋混凝土结构单跨21m以上、30m</w:t>
            </w:r>
            <w:r>
              <w:rPr>
                <w:rFonts w:hint="eastAsia" w:asciiTheme="minorEastAsia" w:hAnsiTheme="minorEastAsia" w:cstheme="minorEastAsia"/>
                <w:color w:val="000000"/>
                <w:kern w:val="0"/>
                <w:sz w:val="20"/>
                <w:szCs w:val="20"/>
              </w:rPr>
              <w:t>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2"/>
                <w:kern w:val="0"/>
                <w:sz w:val="20"/>
                <w:szCs w:val="20"/>
              </w:rPr>
              <w:t>钢结构单跨24m以上、36m以下的</w:t>
            </w:r>
            <w:r>
              <w:rPr>
                <w:rFonts w:hint="eastAsia" w:asciiTheme="minorEastAsia" w:hAnsiTheme="minorEastAsia" w:cstheme="minorEastAsia"/>
                <w:color w:val="000000"/>
                <w:kern w:val="0"/>
                <w:sz w:val="20"/>
                <w:szCs w:val="20"/>
              </w:rPr>
              <w:t>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（5）单项建筑造价3000万元以上、1亿元以下的屋住宅建筑；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（6）建筑面积20万m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以下的住宅小区或建筑群体工程。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（1）地上4层以上、12层以下的住宅建筑；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（2）建筑面积1000m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3"/>
                <w:kern w:val="0"/>
                <w:sz w:val="20"/>
                <w:szCs w:val="20"/>
              </w:rPr>
              <w:t>钢筋混凝土结构单跨18m以上、21m</w:t>
            </w:r>
            <w:r>
              <w:rPr>
                <w:rFonts w:hint="eastAsia" w:asciiTheme="minorEastAsia" w:hAnsiTheme="minorEastAsia" w:cstheme="minorEastAsia"/>
                <w:color w:val="000000"/>
                <w:kern w:val="0"/>
                <w:sz w:val="20"/>
                <w:szCs w:val="20"/>
              </w:rPr>
              <w:t>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3"/>
                <w:kern w:val="0"/>
                <w:sz w:val="20"/>
                <w:szCs w:val="20"/>
              </w:rPr>
              <w:t>钢结构单跨21m以上24m以下的住</w:t>
            </w:r>
            <w:r>
              <w:rPr>
                <w:rFonts w:hint="eastAsia" w:asciiTheme="minorEastAsia" w:hAnsiTheme="minorEastAsia" w:cstheme="minorEastAsia"/>
                <w:color w:val="000000"/>
                <w:kern w:val="0"/>
                <w:sz w:val="20"/>
                <w:szCs w:val="20"/>
              </w:rPr>
              <w:t>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（5）单项建筑造价200万元以上3000万元以下的屋住宅建筑；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（6）建筑面积10万m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以下的住宅小区或建筑群体工程。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w:t>
            </w:r>
          </w:p>
          <w:p>
            <w:pPr>
              <w:widowControl/>
              <w:spacing w:line="220" w:lineRule="exact"/>
              <w:jc w:val="center"/>
              <w:textAlignment w:val="center"/>
              <w:rPr>
                <w:rFonts w:asciiTheme="minorEastAsia" w:hAnsiTheme="minorEastAsia" w:cstheme="minorEastAsia"/>
                <w:kern w:val="0"/>
                <w:sz w:val="20"/>
                <w:szCs w:val="20"/>
              </w:rPr>
            </w:pP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w:t>
            </w:r>
          </w:p>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地下工程造价1000万元以上，且符合下列条件之一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（1）25层以上民用建筑工程，或高度</w:t>
            </w:r>
            <w:r>
              <w:rPr>
                <w:rFonts w:hint="eastAsia" w:asciiTheme="minorEastAsia" w:hAnsiTheme="minorEastAsia" w:cstheme="minorEastAsia"/>
                <w:color w:val="000000"/>
                <w:spacing w:val="-6"/>
                <w:kern w:val="0"/>
                <w:sz w:val="20"/>
                <w:szCs w:val="20"/>
              </w:rPr>
              <w:t>100m以上构筑物的地基基础工程</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（2）刚</w:t>
            </w:r>
            <w:r>
              <w:rPr>
                <w:rFonts w:hint="eastAsia" w:asciiTheme="minorEastAsia" w:hAnsiTheme="minorEastAsia" w:cstheme="minorEastAsia"/>
                <w:color w:val="000000"/>
                <w:spacing w:val="-6"/>
                <w:kern w:val="0"/>
                <w:sz w:val="20"/>
                <w:szCs w:val="20"/>
              </w:rPr>
              <w:t>性桩复合地基处理深度超</w:t>
            </w:r>
            <w:r>
              <w:rPr>
                <w:rFonts w:hint="eastAsia" w:asciiTheme="minorEastAsia" w:hAnsiTheme="minorEastAsia" w:cstheme="minorEastAsia"/>
                <w:color w:val="000000"/>
                <w:kern w:val="0"/>
                <w:sz w:val="20"/>
                <w:szCs w:val="20"/>
              </w:rPr>
              <w:t>过18m,</w:t>
            </w:r>
            <w:r>
              <w:rPr>
                <w:rFonts w:hint="eastAsia" w:asciiTheme="minorEastAsia" w:hAnsiTheme="minorEastAsia" w:cstheme="minorEastAsia"/>
                <w:color w:val="000000"/>
                <w:spacing w:val="-9"/>
                <w:kern w:val="0"/>
                <w:sz w:val="20"/>
                <w:szCs w:val="20"/>
              </w:rPr>
              <w:t>或深度超过8m的其它地基处理工程</w:t>
            </w:r>
            <w:r>
              <w:rPr>
                <w:rFonts w:hint="eastAsia" w:asciiTheme="minorEastAsia" w:hAnsiTheme="minorEastAsia" w:cstheme="minorEastAsia"/>
                <w:color w:val="000000"/>
                <w:kern w:val="0"/>
                <w:sz w:val="20"/>
                <w:szCs w:val="20"/>
              </w:rPr>
              <w:t>；</w:t>
            </w:r>
          </w:p>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（3）单桩承受设计荷载6000kN以上的桩基础工程；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11"/>
                <w:kern w:val="0"/>
                <w:sz w:val="20"/>
                <w:szCs w:val="20"/>
              </w:rPr>
              <w:t>开</w:t>
            </w:r>
            <w:r>
              <w:rPr>
                <w:rFonts w:hint="eastAsia" w:asciiTheme="minorEastAsia" w:hAnsiTheme="minorEastAsia" w:cstheme="minorEastAsia"/>
                <w:color w:val="000000"/>
                <w:spacing w:val="6"/>
                <w:kern w:val="0"/>
                <w:sz w:val="20"/>
                <w:szCs w:val="20"/>
              </w:rPr>
              <w:t>挖深度12m以上的基坑围护及土石方工程</w:t>
            </w:r>
            <w:r>
              <w:rPr>
                <w:rFonts w:hint="eastAsia" w:asciiTheme="minorEastAsia" w:hAnsiTheme="minorEastAsia" w:cstheme="minorEastAsia"/>
                <w:color w:val="000000"/>
                <w:kern w:val="0"/>
                <w:sz w:val="20"/>
                <w:szCs w:val="20"/>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（1）12层以上，25层以下民用建筑工程，或高度80m以上，100m以下构筑物的地基基础工程；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（2）刚性桩复合地基处理深度12m以上，18m以下，或深度6m以上，8m以下的其它地基处理工程，且造价600万元以上；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（3）单桩承受设计荷载3000kN以上，6000kN以下的桩基础工程；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（4）开挖深度9m以上，12m以下的基坑围护及土石方工程。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（1）4层以上，12层以下民用建筑工程，或高度50m以上，80m以下构筑物的地基基础工程；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（2）刚性桩复合地基处理深度超过6m以上，12m以下，或深度4m以上，8m以下的其它地基处理工程，且造价100万元以上；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（3）单桩承受设计荷载1000kN以上，3000kN以下的桩基础工程；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（4）开挖深度5m以上，9m以下的基坑围护及土石方工程。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39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装饰装修工程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单项装饰装修工程合同额1500万元以上。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37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单项装饰装修工程合同额500万元以上，1500万元以下。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459"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单项装饰装修工程合同额80万元以上，500万元以下；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993" w:hRule="exac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幕墙</w:t>
            </w:r>
          </w:p>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（1）单体建筑工程幕墙面积6000m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（2）单项工程造价1000万元以上的幕墙工程。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1079"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00" w:lineRule="exact"/>
              <w:jc w:val="center"/>
              <w:textAlignment w:val="center"/>
              <w:rPr>
                <w:rFonts w:asciiTheme="minorEastAsia" w:hAnsiTheme="minorEastAsia" w:cstheme="minorEastAsia"/>
                <w:color w:val="000000"/>
                <w:kern w:val="0"/>
                <w:sz w:val="20"/>
                <w:szCs w:val="20"/>
              </w:rPr>
            </w:pPr>
          </w:p>
          <w:p>
            <w:pPr>
              <w:widowControl/>
              <w:spacing w:line="200" w:lineRule="exact"/>
              <w:jc w:val="center"/>
              <w:textAlignment w:val="center"/>
              <w:rPr>
                <w:rFonts w:asciiTheme="minorEastAsia" w:hAnsiTheme="minorEastAsia" w:cstheme="minorEastAsia"/>
                <w:color w:val="000000"/>
                <w:kern w:val="0"/>
                <w:sz w:val="20"/>
                <w:szCs w:val="20"/>
              </w:rPr>
            </w:pPr>
          </w:p>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p>
            <w:pPr>
              <w:widowControl/>
              <w:spacing w:line="280" w:lineRule="exact"/>
              <w:jc w:val="center"/>
              <w:textAlignment w:val="center"/>
              <w:rPr>
                <w:rFonts w:asciiTheme="minorEastAsia" w:hAnsiTheme="minorEastAsia" w:cstheme="minorEastAsia"/>
                <w:color w:val="000000"/>
                <w:kern w:val="0"/>
                <w:sz w:val="20"/>
                <w:szCs w:val="20"/>
              </w:rPr>
            </w:pPr>
          </w:p>
          <w:p>
            <w:pPr>
              <w:widowControl/>
              <w:spacing w:line="280" w:lineRule="exact"/>
              <w:jc w:val="center"/>
              <w:textAlignment w:val="center"/>
              <w:rPr>
                <w:rFonts w:asciiTheme="minorEastAsia" w:hAnsiTheme="minorEastAsia" w:cstheme="minorEastAsia"/>
                <w:color w:val="000000"/>
                <w:kern w:val="0"/>
                <w:sz w:val="20"/>
                <w:szCs w:val="20"/>
              </w:rPr>
            </w:pPr>
          </w:p>
          <w:p>
            <w:pPr>
              <w:widowControl/>
              <w:spacing w:line="280" w:lineRule="exact"/>
              <w:textAlignment w:val="center"/>
              <w:rPr>
                <w:rFonts w:asciiTheme="minorEastAsia" w:hAnsiTheme="minorEastAsia" w:cstheme="minorEastAsia"/>
                <w:color w:val="000000"/>
                <w:kern w:val="0"/>
                <w:sz w:val="20"/>
                <w:szCs w:val="20"/>
              </w:rPr>
            </w:pP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（1）单体建筑工程幕墙面积2000m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（2）单项工程造价500万元以上，1000万元以下的幕墙工程。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926"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（1）单体建筑工程幕墙面积800m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9"/>
                <w:kern w:val="0"/>
                <w:sz w:val="20"/>
                <w:szCs w:val="20"/>
              </w:rPr>
              <w:t>单项工程造价80万元以上，500</w:t>
            </w:r>
            <w:r>
              <w:rPr>
                <w:rFonts w:hint="eastAsia" w:asciiTheme="minorEastAsia" w:hAnsiTheme="minorEastAsia" w:cstheme="minorEastAsia"/>
                <w:color w:val="000000"/>
                <w:kern w:val="0"/>
                <w:sz w:val="20"/>
                <w:szCs w:val="20"/>
              </w:rPr>
              <w:t>万元以下的幕墙工程。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48"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防腐保温工程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单项合同额500万元以上，且防腐蚀技术符合相关技术性要求的防腐保温工程。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666"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单项合同额400万元以上，500万元以下，且防腐蚀技术符合相关技术性要求的防腐保温工程。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单项合同额200万元以上，400万元以下，且防腐蚀技术符合相关技术性要求的防腐保温工程。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bl>
    <w:p>
      <w:pPr>
        <w:spacing w:line="220" w:lineRule="exact"/>
        <w:rPr>
          <w:rFonts w:ascii="方正楷体_GBK" w:hAnsi="方正楷体_GBK" w:eastAsia="方正楷体_GBK" w:cs="方正楷体_GBK"/>
          <w:sz w:val="20"/>
          <w:szCs w:val="20"/>
        </w:rPr>
      </w:pP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四、白蚁防治专业</w:t>
      </w:r>
    </w:p>
    <w:tbl>
      <w:tblPr>
        <w:tblStyle w:val="7"/>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597"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备注</w:t>
            </w:r>
          </w:p>
        </w:tc>
      </w:tr>
      <w:tr>
        <w:tblPrEx>
          <w:tblCellMar>
            <w:top w:w="113" w:type="dxa"/>
            <w:left w:w="57" w:type="dxa"/>
            <w:bottom w:w="57" w:type="dxa"/>
            <w:right w:w="57" w:type="dxa"/>
          </w:tblCellMar>
        </w:tblPrEx>
        <w:trPr>
          <w:trHeight w:val="2835"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p>
            <w:pPr>
              <w:widowControl/>
              <w:spacing w:line="240" w:lineRule="exact"/>
              <w:jc w:val="center"/>
              <w:textAlignment w:val="center"/>
              <w:rPr>
                <w:rFonts w:asciiTheme="minorEastAsia" w:hAnsiTheme="minorEastAsia" w:cstheme="minorEastAsia"/>
                <w:color w:val="000000"/>
                <w:kern w:val="0"/>
                <w:sz w:val="20"/>
                <w:szCs w:val="20"/>
              </w:rPr>
            </w:pP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白蚁</w:t>
            </w:r>
          </w:p>
          <w:p>
            <w:pPr>
              <w:widowControl/>
              <w:spacing w:line="30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防治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（1）单体建筑面积3万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以上的建筑白蚁防治工程；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（2）单项建筑造价1亿元以上的建筑白蚁防治工程；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（3）灭治面积2000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以上的国家级重点文物保护单位的古建筑白蚁灭治工程；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（4）灭治面积3000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以上的省级重点文物保护单位的古建筑白蚁灭治工程；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（5）总库容1亿m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以上的水库白蚁灭治工程；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（6）堤防加固工程总投资1亿元以上工程的白蚁防治工程；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（7）白蚁防治费用300万元以上的水利工程；</w:t>
            </w:r>
          </w:p>
          <w:p>
            <w:pPr>
              <w:widowControl/>
              <w:spacing w:line="260" w:lineRule="exact"/>
              <w:jc w:val="lef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（8）占地面积60万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以上的绿化白蚁灭治工程。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2835"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（1）单体建筑面积1万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以上，3万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以下的建筑白蚁防治工程；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（2）单项建筑造价3000万元以上，1亿元以下建筑白蚁防治工程；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（3）灭治面积1000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以上，2000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以下的国家级重点文物保护单位的古建筑白蚁灭治工程；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（4）灭治面积2000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以上，3000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以下的省级重点文物保护单位的古建筑白蚁灭治工程；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（5）灭治面积4000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以上的市级重点文物保护单位的古建筑白蚁灭治工程；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（6）总库容1000万</w:t>
            </w:r>
            <w:r>
              <w:rPr>
                <w:rFonts w:hint="eastAsia" w:asciiTheme="minorEastAsia" w:hAnsiTheme="minorEastAsia" w:cstheme="minorEastAsia"/>
                <w:color w:val="000000"/>
                <w:kern w:val="0"/>
                <w:sz w:val="20"/>
                <w:szCs w:val="20"/>
              </w:rPr>
              <w:t>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kern w:val="0"/>
                <w:sz w:val="20"/>
                <w:szCs w:val="20"/>
              </w:rPr>
              <w:t>以上，1亿</w:t>
            </w:r>
            <w:r>
              <w:rPr>
                <w:rFonts w:hint="eastAsia" w:asciiTheme="minorEastAsia" w:hAnsiTheme="minorEastAsia" w:cstheme="minorEastAsia"/>
                <w:color w:val="000000"/>
                <w:kern w:val="0"/>
                <w:sz w:val="20"/>
                <w:szCs w:val="20"/>
              </w:rPr>
              <w:t>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kern w:val="0"/>
                <w:sz w:val="20"/>
                <w:szCs w:val="20"/>
              </w:rPr>
              <w:t>以下的水库白蚁灭治工程；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（7）堤防加固总投资1000万元以上，1亿元以下工程的白蚁防治工程；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（8）白蚁防治费用100万元以上，300万元以下的水利工程；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（9）占地面积30万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以上，60万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kern w:val="0"/>
                <w:sz w:val="20"/>
                <w:szCs w:val="20"/>
              </w:rPr>
              <w:t>以下的绿化白蚁灭治工程。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2835"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（1）</w:t>
            </w:r>
            <w:r>
              <w:rPr>
                <w:rFonts w:hint="eastAsia" w:asciiTheme="minorEastAsia" w:hAnsiTheme="minorEastAsia" w:cstheme="minorEastAsia"/>
                <w:color w:val="000000"/>
                <w:kern w:val="0"/>
                <w:sz w:val="20"/>
                <w:szCs w:val="20"/>
              </w:rPr>
              <w:t>单体建筑面积1000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以上，1万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以下的建筑白蚁防治工程；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（2）</w:t>
            </w:r>
            <w:r>
              <w:rPr>
                <w:rFonts w:hint="eastAsia" w:asciiTheme="minorEastAsia" w:hAnsiTheme="minorEastAsia" w:cstheme="minorEastAsia"/>
                <w:color w:val="000000"/>
                <w:kern w:val="0"/>
                <w:sz w:val="20"/>
                <w:szCs w:val="20"/>
              </w:rPr>
              <w:t>单项建筑造价200万元以上，3000万元以下的建筑白蚁防治工程；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（3）</w:t>
            </w:r>
            <w:r>
              <w:rPr>
                <w:rFonts w:hint="eastAsia" w:asciiTheme="minorEastAsia" w:hAnsiTheme="minorEastAsia" w:cstheme="minorEastAsia"/>
                <w:color w:val="000000"/>
                <w:kern w:val="0"/>
                <w:sz w:val="20"/>
                <w:szCs w:val="20"/>
              </w:rPr>
              <w:t>灭治面积1000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以下的国家级重点文物保护单位的古建筑白蚁灭治工程；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（4）</w:t>
            </w:r>
            <w:r>
              <w:rPr>
                <w:rFonts w:hint="eastAsia" w:asciiTheme="minorEastAsia" w:hAnsiTheme="minorEastAsia" w:cstheme="minorEastAsia"/>
                <w:color w:val="000000"/>
                <w:kern w:val="0"/>
                <w:sz w:val="20"/>
                <w:szCs w:val="20"/>
              </w:rPr>
              <w:t>灭治面积2000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以下的省级重点文物保护单位的古建筑白蚁灭治工程；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（5）</w:t>
            </w:r>
            <w:r>
              <w:rPr>
                <w:rFonts w:hint="eastAsia" w:asciiTheme="minorEastAsia" w:hAnsiTheme="minorEastAsia" w:cstheme="minorEastAsia"/>
                <w:color w:val="000000"/>
                <w:kern w:val="0"/>
                <w:sz w:val="20"/>
                <w:szCs w:val="20"/>
              </w:rPr>
              <w:t>灭治面积4000</w:t>
            </w:r>
            <w:r>
              <w:rPr>
                <w:rFonts w:hint="eastAsia" w:asciiTheme="minorEastAsia" w:hAnsiTheme="minorEastAsia" w:cstheme="minorEastAsia"/>
                <w:color w:val="000000" w:themeColor="text1"/>
                <w:spacing w:val="-3"/>
                <w:kern w:val="0"/>
                <w:sz w:val="20"/>
                <w:szCs w:val="20"/>
              </w:rPr>
              <w:t xml:space="preserve"> 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以下的市级重点文物保护单位的古建筑白蚁灭治工程；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（6）</w:t>
            </w:r>
            <w:r>
              <w:rPr>
                <w:rFonts w:hint="eastAsia" w:asciiTheme="minorEastAsia" w:hAnsiTheme="minorEastAsia" w:cstheme="minorEastAsia"/>
                <w:color w:val="000000"/>
                <w:kern w:val="0"/>
                <w:sz w:val="20"/>
                <w:szCs w:val="20"/>
              </w:rPr>
              <w:t>总库容100万m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以上，1000万m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以下的水库白蚁灭治工程；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（7）</w:t>
            </w:r>
            <w:r>
              <w:rPr>
                <w:rFonts w:hint="eastAsia" w:asciiTheme="minorEastAsia" w:hAnsiTheme="minorEastAsia" w:cstheme="minorEastAsia"/>
                <w:color w:val="000000"/>
                <w:kern w:val="0"/>
                <w:sz w:val="20"/>
                <w:szCs w:val="20"/>
              </w:rPr>
              <w:t>堤防加固总投资100万元以上，1000万元以下工程的白蚁防治工程；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（8）</w:t>
            </w:r>
            <w:r>
              <w:rPr>
                <w:rFonts w:hint="eastAsia" w:asciiTheme="minorEastAsia" w:hAnsiTheme="minorEastAsia" w:cstheme="minorEastAsia"/>
                <w:color w:val="000000"/>
                <w:kern w:val="0"/>
                <w:sz w:val="20"/>
                <w:szCs w:val="20"/>
              </w:rPr>
              <w:t>白蚁防治费用50万元以上，100万元以下的水利工程；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（9）</w:t>
            </w:r>
            <w:r>
              <w:rPr>
                <w:rFonts w:hint="eastAsia" w:asciiTheme="minorEastAsia" w:hAnsiTheme="minorEastAsia" w:cstheme="minorEastAsia"/>
                <w:color w:val="000000"/>
                <w:kern w:val="0"/>
                <w:sz w:val="20"/>
                <w:szCs w:val="20"/>
              </w:rPr>
              <w:t>占地面积10万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以上，30万</w:t>
            </w:r>
            <w:r>
              <w:rPr>
                <w:rFonts w:hint="eastAsia" w:asciiTheme="minorEastAsia" w:hAnsiTheme="minorEastAsia" w:cstheme="minorEastAsia"/>
                <w:color w:val="000000" w:themeColor="text1"/>
                <w:spacing w:val="-3"/>
                <w:kern w:val="0"/>
                <w:sz w:val="20"/>
                <w:szCs w:val="20"/>
              </w:rPr>
              <w:t>m</w:t>
            </w:r>
            <w:r>
              <w:rPr>
                <w:rFonts w:hint="eastAsia" w:asciiTheme="minorEastAsia" w:hAnsiTheme="minorEastAsia" w:cstheme="minorEastAsia"/>
                <w:color w:val="000000" w:themeColor="text1"/>
                <w:spacing w:val="-3"/>
                <w:kern w:val="0"/>
                <w:sz w:val="20"/>
                <w:szCs w:val="20"/>
                <w:vertAlign w:val="superscript"/>
              </w:rPr>
              <w:t>2</w:t>
            </w:r>
            <w:r>
              <w:rPr>
                <w:rFonts w:hint="eastAsia" w:asciiTheme="minorEastAsia" w:hAnsiTheme="minorEastAsia" w:cstheme="minorEastAsia"/>
                <w:color w:val="000000"/>
                <w:kern w:val="0"/>
                <w:sz w:val="20"/>
                <w:szCs w:val="20"/>
              </w:rPr>
              <w:t>以下的绿化白蚁灭治工程。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五、建筑防腐专业</w:t>
      </w:r>
    </w:p>
    <w:p>
      <w:pPr>
        <w:jc w:val="center"/>
        <w:outlineLvl w:val="0"/>
        <w:rPr>
          <w:rFonts w:ascii="方正黑体_GBK" w:hAnsi="方正黑体_GBK" w:eastAsia="方正黑体_GBK" w:cs="方正黑体_GBK"/>
          <w:sz w:val="28"/>
          <w:szCs w:val="28"/>
        </w:rPr>
      </w:pPr>
    </w:p>
    <w:tbl>
      <w:tblPr>
        <w:tblStyle w:val="7"/>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471"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备注</w:t>
            </w:r>
          </w:p>
        </w:tc>
      </w:tr>
      <w:tr>
        <w:tblPrEx>
          <w:tblCellMar>
            <w:top w:w="113" w:type="dxa"/>
            <w:left w:w="57" w:type="dxa"/>
            <w:bottom w:w="57" w:type="dxa"/>
            <w:right w:w="57" w:type="dxa"/>
          </w:tblCellMar>
        </w:tblPrEx>
        <w:trPr>
          <w:trHeight w:val="567"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建筑</w:t>
            </w:r>
          </w:p>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防腐</w:t>
            </w:r>
          </w:p>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保温工程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单项合同额500万元以上，且防腐蚀技术符合相关技术性要求的防腐保温工程。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单项合同额400万元以上，500万元以下，且防腐蚀技术符合相关技术性要求的防腐保温工程。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单项合同额200万元以上，400万元以下，且防腐蚀技术符合相关技术性要求的防腐保温工程。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Cs w:val="21"/>
        </w:rPr>
      </w:pPr>
      <w:r>
        <w:rPr>
          <w:rFonts w:hint="eastAsia" w:ascii="方正黑体_GBK" w:hAnsi="方正黑体_GBK" w:eastAsia="方正黑体_GBK" w:cs="方正黑体_GBK"/>
          <w:sz w:val="28"/>
          <w:szCs w:val="28"/>
        </w:rPr>
        <w:t>六、勘测——岩土工程专业</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67"/>
        <w:gridCol w:w="850"/>
        <w:gridCol w:w="850"/>
        <w:gridCol w:w="6182"/>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182"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755"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73"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房屋建筑工程勘察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w:t>
            </w:r>
            <w:r>
              <w:rPr>
                <w:rFonts w:asciiTheme="minorEastAsia" w:hAnsiTheme="minorEastAsia" w:cstheme="minorEastAsia"/>
                <w:color w:val="000000"/>
                <w:kern w:val="0"/>
                <w:sz w:val="20"/>
                <w:szCs w:val="20"/>
              </w:rPr>
              <w:t>1）30层以上的高层建筑；</w:t>
            </w:r>
            <w:r>
              <w:rPr>
                <w:rFonts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（2）高度100m以上的高层建筑。</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spacing w:val="-6"/>
                <w:kern w:val="0"/>
                <w:sz w:val="20"/>
                <w:szCs w:val="20"/>
                <w:highlight w:val="yellow"/>
              </w:rPr>
            </w:pPr>
          </w:p>
          <w:p>
            <w:pPr>
              <w:widowControl/>
              <w:spacing w:line="230" w:lineRule="exact"/>
              <w:jc w:val="center"/>
              <w:textAlignment w:val="center"/>
              <w:rPr>
                <w:rFonts w:asciiTheme="minorEastAsia" w:hAnsiTheme="minorEastAsia" w:cstheme="minorEastAsia"/>
                <w:color w:val="000000" w:themeColor="text1"/>
                <w:kern w:val="0"/>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48"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7层以上，30层以下建筑。</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42"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6层以下建筑。</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道路工程勘察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快速路和主干路。</w:t>
            </w:r>
          </w:p>
        </w:tc>
        <w:tc>
          <w:tcPr>
            <w:tcW w:w="1755" w:type="dxa"/>
            <w:vMerge w:val="restart"/>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次干路。</w:t>
            </w:r>
          </w:p>
        </w:tc>
        <w:tc>
          <w:tcPr>
            <w:tcW w:w="1755" w:type="dxa"/>
            <w:vMerge w:val="continue"/>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支路、公交场站和城市广场。</w:t>
            </w:r>
          </w:p>
        </w:tc>
        <w:tc>
          <w:tcPr>
            <w:tcW w:w="1755" w:type="dxa"/>
            <w:vMerge w:val="continue"/>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桥涵工程勘察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特大桥、大桥、大型立交桥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(单跨40m以上、总长100m以上的桥梁)。</w:t>
            </w:r>
          </w:p>
        </w:tc>
        <w:tc>
          <w:tcPr>
            <w:tcW w:w="1755" w:type="dxa"/>
            <w:vMerge w:val="restart"/>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中桥、小型立交桥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(单跨40m以下、总长100m以下的桥梁)。</w:t>
            </w:r>
          </w:p>
        </w:tc>
        <w:tc>
          <w:tcPr>
            <w:tcW w:w="1755" w:type="dxa"/>
            <w:vMerge w:val="continue"/>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小桥、涵洞及人行通道。</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4</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隧道工程勘察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城市隧道工程均属于大型项目。</w:t>
            </w:r>
          </w:p>
        </w:tc>
        <w:tc>
          <w:tcPr>
            <w:tcW w:w="1755" w:type="dxa"/>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轨道交通工程勘察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车站主体、地下区间、高架区间、地下停车场、控制中心、主变电站。</w:t>
            </w:r>
          </w:p>
        </w:tc>
        <w:tc>
          <w:tcPr>
            <w:tcW w:w="1755"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路基、涵洞、小桥、车辆基地、车站附属等。</w:t>
            </w:r>
          </w:p>
        </w:tc>
        <w:tc>
          <w:tcPr>
            <w:tcW w:w="1755"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次要建筑物、地面停车场。</w:t>
            </w:r>
          </w:p>
        </w:tc>
        <w:tc>
          <w:tcPr>
            <w:tcW w:w="1755"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2"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基坑工程勘察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安全等级为一级的深基坑工程。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75"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安全等级为二级的基坑工程。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安全等级为三级的基坑工程。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边坡工程勘察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房屋建筑和市政工程中高度15m以上的岩质边坡和高度10m以上的土质边坡。</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30m</w:t>
            </w:r>
            <w:r>
              <w:rPr>
                <w:rFonts w:hint="eastAsia" w:asciiTheme="minorEastAsia" w:hAnsiTheme="minorEastAsia" w:cstheme="minorEastAsia"/>
                <w:color w:val="000000"/>
                <w:kern w:val="0"/>
                <w:sz w:val="20"/>
                <w:szCs w:val="20"/>
              </w:rPr>
              <w:t>以上的岩质边坡、高度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以上的土质边坡。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房屋建筑和市政工程中高度15m以下的岩质边坡和高度10m以下的土质边坡。</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以下的岩质边坡、高度</w:t>
            </w:r>
            <w:r>
              <w:rPr>
                <w:rFonts w:asciiTheme="minorEastAsia" w:hAnsiTheme="minorEastAsia" w:cstheme="minorEastAsia"/>
                <w:color w:val="000000"/>
                <w:kern w:val="0"/>
                <w:sz w:val="20"/>
                <w:szCs w:val="20"/>
              </w:rPr>
              <w:t>10m</w:t>
            </w:r>
            <w:r>
              <w:rPr>
                <w:rFonts w:hint="eastAsia" w:asciiTheme="minorEastAsia" w:hAnsiTheme="minorEastAsia" w:cstheme="minorEastAsia"/>
                <w:color w:val="000000"/>
                <w:kern w:val="0"/>
                <w:sz w:val="20"/>
                <w:szCs w:val="20"/>
              </w:rPr>
              <w:t>以下的土质边坡。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8</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地下工程勘察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地下空间总建筑面积1万㎡以上。</w:t>
            </w:r>
          </w:p>
        </w:tc>
        <w:tc>
          <w:tcPr>
            <w:tcW w:w="1755"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地下空间总建筑面积1万㎡以下。</w:t>
            </w:r>
          </w:p>
        </w:tc>
        <w:tc>
          <w:tcPr>
            <w:tcW w:w="1755"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9</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设计规模为特大型、大型的建设项目。</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设计规模为中型的建设项目。</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设计规模为小型的建设项目。</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10</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基坑工程设计</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安全等级为一、二级的基坑工程。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安全等级为三级的基坑工程。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边坡工程设计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安全等级为一级的边坡工程</w:t>
            </w:r>
          </w:p>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(高度15m以上的岩质边坡和高度10m以上的土质边坡)。</w:t>
            </w:r>
          </w:p>
        </w:tc>
        <w:tc>
          <w:tcPr>
            <w:tcW w:w="1755" w:type="dxa"/>
            <w:tcBorders>
              <w:tl2br w:val="nil"/>
              <w:tr2bl w:val="nil"/>
            </w:tcBorders>
            <w:shd w:val="clear" w:color="auto" w:fill="auto"/>
            <w:vAlign w:val="center"/>
          </w:tcPr>
          <w:p>
            <w:pPr>
              <w:widowControl/>
              <w:spacing w:line="29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30m</w:t>
            </w:r>
            <w:r>
              <w:rPr>
                <w:rFonts w:hint="eastAsia" w:asciiTheme="minorEastAsia" w:hAnsiTheme="minorEastAsia" w:cstheme="minorEastAsia"/>
                <w:color w:val="000000"/>
                <w:kern w:val="0"/>
                <w:sz w:val="20"/>
                <w:szCs w:val="20"/>
              </w:rPr>
              <w:t>以上的岩质边坡、高度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以上的土质边坡。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安全等级为一级的边坡工程</w:t>
            </w:r>
          </w:p>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(高度15m以下的岩质边坡和高度10m以下的土质边坡)。</w:t>
            </w:r>
          </w:p>
        </w:tc>
        <w:tc>
          <w:tcPr>
            <w:tcW w:w="1755" w:type="dxa"/>
            <w:tcBorders>
              <w:tl2br w:val="nil"/>
              <w:tr2bl w:val="nil"/>
            </w:tcBorders>
            <w:shd w:val="clear" w:color="auto" w:fill="auto"/>
            <w:vAlign w:val="center"/>
          </w:tcPr>
          <w:p>
            <w:pPr>
              <w:widowControl/>
              <w:spacing w:line="29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以下的岩质边坡、高度</w:t>
            </w:r>
            <w:r>
              <w:rPr>
                <w:rFonts w:asciiTheme="minorEastAsia" w:hAnsiTheme="minorEastAsia" w:cstheme="minorEastAsia"/>
                <w:color w:val="000000"/>
                <w:kern w:val="0"/>
                <w:sz w:val="20"/>
                <w:szCs w:val="20"/>
              </w:rPr>
              <w:t>10m</w:t>
            </w:r>
            <w:r>
              <w:rPr>
                <w:rFonts w:hint="eastAsia" w:asciiTheme="minorEastAsia" w:hAnsiTheme="minorEastAsia" w:cstheme="minorEastAsia"/>
                <w:color w:val="000000"/>
                <w:kern w:val="0"/>
                <w:sz w:val="20"/>
                <w:szCs w:val="20"/>
              </w:rPr>
              <w:t>以下的土质边坡。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地基处理设计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一般土层处理后地基承载力达到300kPa以上的地基处理设计，特殊性岩土作为中型及以上建筑物的地基持力层的地基处理设计。</w:t>
            </w:r>
          </w:p>
        </w:tc>
        <w:tc>
          <w:tcPr>
            <w:tcW w:w="1755"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一般土层处理后地基承载力300kPa以下的地基处理设计，特殊性岩土作为小型建筑物地基持力层的地基处理设计。</w:t>
            </w:r>
          </w:p>
        </w:tc>
        <w:tc>
          <w:tcPr>
            <w:tcW w:w="1755"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其他工程设计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不良地质作用和地质灾害的治理设计；中等以上或复杂工程项目的岩土工程设计；建(构)筑物纠偏设计及基础托换设计，建(构)筑物沉降控制设计；填海工程的岩土工程设计；其他勘察等级为甲、乙级工程的岩土工程设计。</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31"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简单工程项目的岩土工程设计；其他勘察等级为丙级工程的岩土工程设计。</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14</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工程物探</w:t>
            </w:r>
            <w:r>
              <w:rPr>
                <w:rFonts w:hint="eastAsia" w:asciiTheme="minorEastAsia" w:hAnsiTheme="minorEastAsia" w:cstheme="minorEastAsia"/>
                <w:color w:val="000000"/>
                <w:spacing w:val="-17"/>
                <w:kern w:val="0"/>
                <w:sz w:val="20"/>
                <w:szCs w:val="20"/>
              </w:rPr>
              <w:t>测试、</w:t>
            </w:r>
            <w:r>
              <w:rPr>
                <w:rFonts w:hint="eastAsia" w:asciiTheme="minorEastAsia" w:hAnsiTheme="minorEastAsia" w:cstheme="minorEastAsia"/>
                <w:color w:val="000000"/>
                <w:kern w:val="0"/>
                <w:sz w:val="20"/>
                <w:szCs w:val="20"/>
              </w:rPr>
              <w:t>检测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大型跨江、跨海桥梁桥址的工程物探，桥桩基测试、检测，岩溶地区、水域工程物探，复杂地质和地形条件下探查地下目的物的深度和精度要求较高的工程物探。</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15</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大型工程测试</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地铁、轻轨、隧道工程的岩土工程物探、测试、检测、监测。</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基坑及边坡工程监测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安全等级为一级的基坑工程、边坡工程的监测。</w:t>
            </w:r>
          </w:p>
        </w:tc>
        <w:tc>
          <w:tcPr>
            <w:tcW w:w="1755"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安全等级为二、三级的基坑工程、边坡工程的监测。</w:t>
            </w:r>
          </w:p>
        </w:tc>
        <w:tc>
          <w:tcPr>
            <w:tcW w:w="1755"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地基处理及桩基检测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一般土层处理后，地基承载力达到300kPa以上的地基处理监测，单桩最大加载在10000kN以上的桩基检测。</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一般土层处理后，地基承载力300kPa以下的地基处理检测，单桩最大加载在10000kN以下的桩基检测。</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18</w:t>
            </w:r>
          </w:p>
        </w:tc>
        <w:tc>
          <w:tcPr>
            <w:tcW w:w="850" w:type="dxa"/>
            <w:vMerge w:val="restart"/>
            <w:tcBorders>
              <w:tl2br w:val="nil"/>
              <w:tr2bl w:val="nil"/>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其他测试</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建筑物纠偏、加固工程中的岩土工程监测，重特大抢险工程的岩土工程监测；按《岩土工程勘察规范》（GB 50021）岩土工程勘察等级为甲级的工程项目涉及的波速测试、地脉动测试；块体基础振动测试。</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按《岩土工程勘察规范》（GB 50021）岩土工程勘察等级为乙级及以下的工程项目涉及的波速测试、地脉动测试。</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bl>
    <w:p>
      <w:pPr>
        <w:spacing w:line="160" w:lineRule="exact"/>
        <w:jc w:val="center"/>
        <w:rPr>
          <w:rFonts w:ascii="方正楷体_GBK" w:hAnsi="方正楷体_GBK" w:eastAsia="方正楷体_GBK" w:cs="方正楷体_GBK"/>
          <w:sz w:val="20"/>
          <w:szCs w:val="20"/>
        </w:rPr>
      </w:pPr>
    </w:p>
    <w:p>
      <w:pPr>
        <w:spacing w:line="1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七、勘测——工程测量专业</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控制测量</w:t>
            </w:r>
          </w:p>
        </w:tc>
        <w:tc>
          <w:tcPr>
            <w:tcW w:w="850" w:type="dxa"/>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FFFFFF"/>
            <w:vAlign w:val="center"/>
          </w:tcPr>
          <w:p>
            <w:pPr>
              <w:widowControl/>
              <w:spacing w:line="22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三等以上GNSS控制测量，四等及以上导线测量，二等及以上水准测量。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FFFFFF"/>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FFFFFF"/>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四等GNSS控制测量，一、二级导线测量，三、四等水准测量。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FFFFFF"/>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FFFFFF"/>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一级、二级GNSS控制测量，三级导线测量，五等水准测量。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规划测量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大、中城市规划定测量线、拨地。</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小城镇规划定测量线、拨地。</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地形测量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以上的大比例尺地形图地形测量。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以下大比例尺地形图地形测量。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以下大比例尺地形图地形测量。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精密工程测量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国家大型、重点、特殊项目精密工程测量。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一般工程的精密工程测量。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线路工程测量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20km以上的线路工程测量。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5km以上、20km以下的线路工程测量。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5km以下线路工程测量。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地下管线测量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总长度20km以上综合地下管线测量。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总长度20km以下综合地下管线测量。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长度不超过5km的单一地下管线测量。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变形与形变测量</w:t>
            </w: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地基基础设计等级为甲级的建筑变形监测，重要古建筑变形监测，大型市政桥梁变形监测，重要管线变形监测，场地滑坡变形监测。</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地基基础设计等级为乙、丙级的建筑变形监测，地表、道路沉降监测，中小型市政桥梁变形监测，一般管线变形监测。</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8</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其他测量</w:t>
            </w: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1、国家重点项目的首级控制测量、变形与形变及监测；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2、地铁、轻轨隧道工程测量。</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不动产面积测量单体建筑3万m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1、其它小型工程或面积较小的施工放样等；</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2、不动产面积测量单体建筑3万m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八、勘测——水文地质勘察专业</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67"/>
        <w:gridCol w:w="850"/>
        <w:gridCol w:w="850"/>
        <w:gridCol w:w="6607"/>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rPr>
            </w:pPr>
            <w:r>
              <w:rPr>
                <w:rFonts w:hint="eastAsia" w:ascii="方正黑体_GBK" w:hAnsi="方正黑体_GBK" w:eastAsia="方正黑体_GBK" w:cs="方正黑体_GBK"/>
                <w:color w:val="000000" w:themeColor="text1"/>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规模</w:t>
            </w:r>
          </w:p>
        </w:tc>
        <w:tc>
          <w:tcPr>
            <w:tcW w:w="660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参考标准</w:t>
            </w:r>
          </w:p>
        </w:tc>
        <w:tc>
          <w:tcPr>
            <w:tcW w:w="133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themeColor="text1"/>
                <w:kern w:val="0"/>
                <w:sz w:val="20"/>
                <w:szCs w:val="2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规划和选址</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大、中城市规划和大型企业选址的供水水源可行性研究及水资源评价。</w:t>
            </w:r>
          </w:p>
        </w:tc>
        <w:tc>
          <w:tcPr>
            <w:tcW w:w="1330" w:type="dxa"/>
            <w:vMerge w:val="restart"/>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小城市规划和中、小型企业选址的供水水源可行性研究及水资源评价。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供水量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供水量10000m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/d以上的水源勘察和评价。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供水量2000m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/d以上、10000m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/d以下的水源勘察及评价。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水文地质条件简单，供水量2000m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/d以下的水源勘察和评价。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水文地质条件</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水文地质条件复杂的水资源勘察和评价。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水文地质条件中等复杂的水资源勘察和评价。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设计规模为大型的建设项目水文地质勘察。</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设计规模为中型的建设项目水文地质勘察。</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设计规模为小型的建设项目的水文地质勘察。</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地下水控制</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复杂的降水工程，或同等复杂的止水工程。</w:t>
            </w:r>
          </w:p>
        </w:tc>
        <w:tc>
          <w:tcPr>
            <w:tcW w:w="1330"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中等及以下的降水工程，或同等复杂的止水工程。</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（1）国家重点项目、国外投资或中外合资项目的水源勘察和评价；</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9"/>
                <w:kern w:val="0"/>
                <w:sz w:val="20"/>
                <w:szCs w:val="20"/>
              </w:rPr>
              <w:t>干旱地区、贫水地区、未开发地区水资源评价。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九、城市园林专业</w:t>
      </w:r>
    </w:p>
    <w:tbl>
      <w:tblPr>
        <w:tblStyle w:val="7"/>
        <w:tblW w:w="10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32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32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418"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综合性</w:t>
            </w:r>
          </w:p>
          <w:p>
            <w:pPr>
              <w:widowControl/>
              <w:spacing w:line="22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以上，或工程造价在1200万元以上的园林绿化综合性工程，并完成栽植、铺植、整地、建筑及小品、花坛、园路、水体、水景、喷泉、驳岸、码头、园林设施及设备安装等工程。</w:t>
            </w:r>
          </w:p>
        </w:tc>
        <w:tc>
          <w:tcPr>
            <w:tcW w:w="1418" w:type="dxa"/>
            <w:vMerge w:val="restart"/>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spacing w:val="-6"/>
                <w:kern w:val="0"/>
                <w:sz w:val="20"/>
                <w:szCs w:val="20"/>
              </w:rPr>
              <w:t>占地面积5万m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以上、8万m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以下，或工程造价在800万元以上，1200万元以下的园林绿化综合性工程，并完成栽植、铺植、整地、建筑及小品、花坛、园路、水体、水景、喷泉、驳岸、码头、园林设施及设备安装等工程。</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spacing w:val="-6"/>
                <w:kern w:val="0"/>
                <w:sz w:val="20"/>
                <w:szCs w:val="20"/>
              </w:rPr>
              <w:t>占地面积2万m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以上、5万m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以下，或工程造价在300万元以上、800万元以下的园林绿化综合性工程，并完成栽植、铺植、整地、建筑及小品、花坛、园路、水体、水景、喷泉、驳岸、码头、园林设施及设备安装等工程。</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公园</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以上，且工程造价在1200万元以上的公园、游园等公共绿地。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占地面积5万m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以下，或工程造价在800万元以上、1200万元以下的公园、游园等公共绿地。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以下，或工程造价在300万元以上、800万元以下的公园、游园等公共绿地。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主干道</w:t>
            </w:r>
          </w:p>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绿化、绿地</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以上，且工程造价在1000万元以上的主干道绿化、道路绿地、居住区绿地、单位附属绿地。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以下，或工程造价在800万元以上、1000万元以下的主干道绿化、道路绿地、居住区绿地、单位附属绿地。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以下，或工程造价在300万元以上、800万元以下的主干道绿化、道路绿地、居住区绿地、单位附属绿地。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spacing w:val="-17"/>
                <w:kern w:val="0"/>
                <w:sz w:val="20"/>
                <w:szCs w:val="20"/>
              </w:rPr>
              <w:t>林地、</w:t>
            </w:r>
            <w:r>
              <w:rPr>
                <w:rFonts w:hint="eastAsia" w:asciiTheme="minorEastAsia" w:hAnsiTheme="minorEastAsia" w:cstheme="minorEastAsia"/>
                <w:color w:val="000000"/>
                <w:kern w:val="0"/>
                <w:sz w:val="20"/>
                <w:szCs w:val="20"/>
              </w:rPr>
              <w:t>防护绿地</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以上，且工程造价在1000万元以上的风景林地、防护绿地。</w:t>
            </w:r>
          </w:p>
        </w:tc>
        <w:tc>
          <w:tcPr>
            <w:tcW w:w="1418"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以下，或工程造价在800万元以上、1000万元以下的风景林地、防护绿地。</w:t>
            </w:r>
          </w:p>
        </w:tc>
        <w:tc>
          <w:tcPr>
            <w:tcW w:w="1418"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以下，或工程造价在300万元以上、800万元以下的风景林地、防护绿地。</w:t>
            </w:r>
          </w:p>
        </w:tc>
        <w:tc>
          <w:tcPr>
            <w:tcW w:w="1418"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绿化养护</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占地面积60万m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以上的绿化养护。</w:t>
            </w:r>
          </w:p>
        </w:tc>
        <w:tc>
          <w:tcPr>
            <w:tcW w:w="1418" w:type="dxa"/>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以上、60万m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以下的绿化养护。</w:t>
            </w:r>
          </w:p>
        </w:tc>
        <w:tc>
          <w:tcPr>
            <w:tcW w:w="1418" w:type="dxa"/>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以下的绿化养护。</w:t>
            </w:r>
          </w:p>
        </w:tc>
        <w:tc>
          <w:tcPr>
            <w:tcW w:w="1418" w:type="dxa"/>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十、市政道桥专业</w:t>
      </w:r>
    </w:p>
    <w:tbl>
      <w:tblPr>
        <w:tblStyle w:val="7"/>
        <w:tblW w:w="9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567"/>
        <w:gridCol w:w="567"/>
        <w:gridCol w:w="634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349"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701"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966"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w:t>
            </w:r>
          </w:p>
        </w:tc>
        <w:tc>
          <w:tcPr>
            <w:tcW w:w="567" w:type="dxa"/>
            <w:vMerge w:val="restart"/>
            <w:tcBorders>
              <w:tl2br w:val="nil"/>
              <w:tr2bl w:val="nil"/>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市政道路工程</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（1）城市快速路、主干道；</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9"/>
                <w:kern w:val="0"/>
                <w:sz w:val="20"/>
                <w:szCs w:val="20"/>
              </w:rPr>
              <w:t>全苜蓿叶型、双喇叭型纽</w:t>
            </w:r>
            <w:r>
              <w:rPr>
                <w:rFonts w:hint="eastAsia" w:asciiTheme="minorEastAsia" w:hAnsiTheme="minorEastAsia" w:cstheme="minorEastAsia"/>
                <w:color w:val="000000"/>
                <w:kern w:val="0"/>
                <w:sz w:val="20"/>
                <w:szCs w:val="20"/>
              </w:rPr>
              <w:t>型等独立的互通式立体交叉</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（3）快速公交系统、公交专用道、6000m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以上的公交场站。</w:t>
            </w:r>
          </w:p>
        </w:tc>
        <w:tc>
          <w:tcPr>
            <w:tcW w:w="1701"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（1）</w:t>
            </w:r>
            <w:r>
              <w:rPr>
                <w:rFonts w:hint="eastAsia" w:asciiTheme="minorEastAsia" w:hAnsiTheme="minorEastAsia" w:cstheme="minorEastAsia"/>
                <w:color w:val="000000"/>
                <w:spacing w:val="-9"/>
                <w:kern w:val="0"/>
                <w:sz w:val="20"/>
                <w:szCs w:val="20"/>
              </w:rPr>
              <w:t>本条适用于设计</w:t>
            </w:r>
            <w:r>
              <w:rPr>
                <w:rFonts w:hint="eastAsia" w:asciiTheme="minorEastAsia" w:hAnsiTheme="minorEastAsia" w:cstheme="minorEastAsia"/>
                <w:color w:val="000000"/>
                <w:spacing w:val="-22"/>
                <w:kern w:val="0"/>
                <w:sz w:val="20"/>
                <w:szCs w:val="20"/>
              </w:rPr>
              <w:t>和建设管理类人员；</w:t>
            </w:r>
            <w:r>
              <w:rPr>
                <w:rFonts w:hint="eastAsia" w:asciiTheme="minorEastAsia" w:hAnsiTheme="minorEastAsia" w:cstheme="minorEastAsia"/>
                <w:color w:val="000000"/>
                <w:spacing w:val="-22"/>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spacing w:val="-20"/>
                <w:kern w:val="0"/>
                <w:sz w:val="20"/>
                <w:szCs w:val="20"/>
              </w:rPr>
              <w:t>主</w:t>
            </w:r>
            <w:r>
              <w:rPr>
                <w:rFonts w:hint="eastAsia" w:asciiTheme="minorEastAsia" w:hAnsiTheme="minorEastAsia" w:cstheme="minorEastAsia"/>
                <w:color w:val="000000"/>
                <w:spacing w:val="-6"/>
                <w:kern w:val="0"/>
                <w:sz w:val="20"/>
                <w:szCs w:val="20"/>
              </w:rPr>
              <w:t>干路的机动车</w:t>
            </w:r>
            <w:r>
              <w:rPr>
                <w:rFonts w:hint="eastAsia" w:asciiTheme="minorEastAsia" w:hAnsiTheme="minorEastAsia" w:cstheme="minorEastAsia"/>
                <w:color w:val="000000"/>
                <w:spacing w:val="-11"/>
                <w:kern w:val="0"/>
                <w:sz w:val="20"/>
                <w:szCs w:val="20"/>
              </w:rPr>
              <w:t>道数不小于6条，否则视为次干路；</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kern w:val="0"/>
                <w:sz w:val="20"/>
                <w:szCs w:val="20"/>
              </w:rPr>
              <w:t>此项包含对应</w:t>
            </w:r>
            <w:r>
              <w:rPr>
                <w:rFonts w:hint="eastAsia" w:asciiTheme="minorEastAsia" w:hAnsiTheme="minorEastAsia" w:cstheme="minorEastAsia"/>
                <w:color w:val="000000"/>
                <w:spacing w:val="-11"/>
                <w:kern w:val="0"/>
                <w:sz w:val="20"/>
                <w:szCs w:val="20"/>
              </w:rPr>
              <w:t>的交通工程设施。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311"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6349"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（1）城市快速路、主干道路基工程长度5km以上,单项工程合同额4000万元以上；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（2）高等级路面10万m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以上，单项工程合同额4000万元以上。</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适用于除设计和建设管理类外其他人员。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153"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（1）城市次干道、简单立体交叉工程（含交通工程）；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以下的公交场站；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（3）路基工程：城市快速路、主</w:t>
            </w:r>
            <w:r>
              <w:rPr>
                <w:rFonts w:hint="eastAsia" w:asciiTheme="minorEastAsia" w:hAnsiTheme="minorEastAsia" w:cstheme="minorEastAsia"/>
                <w:color w:val="000000"/>
                <w:spacing w:val="-6"/>
                <w:kern w:val="0"/>
                <w:sz w:val="20"/>
                <w:szCs w:val="20"/>
              </w:rPr>
              <w:t>（次）干道路基工程2km以上、</w:t>
            </w:r>
            <w:r>
              <w:rPr>
                <w:rFonts w:hint="eastAsia" w:asciiTheme="minorEastAsia" w:hAnsiTheme="minorEastAsia" w:cstheme="minorEastAsia"/>
                <w:color w:val="000000"/>
                <w:kern w:val="0"/>
                <w:sz w:val="20"/>
                <w:szCs w:val="20"/>
              </w:rPr>
              <w:t>5km以下,单项工程合同额</w:t>
            </w:r>
            <w:r>
              <w:rPr>
                <w:rFonts w:hint="eastAsia" w:asciiTheme="minorEastAsia" w:hAnsiTheme="minorEastAsia" w:cstheme="minorEastAsia"/>
                <w:color w:val="000000"/>
                <w:spacing w:val="-10"/>
                <w:kern w:val="0"/>
                <w:sz w:val="20"/>
                <w:szCs w:val="20"/>
              </w:rPr>
              <w:t>1000万元以上、4000万元以下；</w:t>
            </w:r>
            <w:r>
              <w:rPr>
                <w:rFonts w:hint="eastAsia" w:asciiTheme="minorEastAsia" w:hAnsiTheme="minorEastAsia" w:cstheme="minorEastAsia"/>
                <w:color w:val="000000"/>
                <w:spacing w:val="-10"/>
                <w:kern w:val="0"/>
                <w:sz w:val="20"/>
                <w:szCs w:val="20"/>
              </w:rPr>
              <w:br w:type="textWrapping"/>
            </w:r>
            <w:r>
              <w:rPr>
                <w:rFonts w:hint="eastAsia" w:asciiTheme="minorEastAsia" w:hAnsiTheme="minorEastAsia" w:cstheme="minorEastAsia"/>
                <w:color w:val="000000"/>
                <w:kern w:val="0"/>
                <w:sz w:val="20"/>
                <w:szCs w:val="20"/>
              </w:rPr>
              <w:t>（4）路面工程：高等级路面5万</w:t>
            </w:r>
            <w:r>
              <w:rPr>
                <w:rFonts w:hint="eastAsia" w:asciiTheme="minorEastAsia" w:hAnsiTheme="minorEastAsia" w:cstheme="minorEastAsia"/>
                <w:color w:val="000000"/>
                <w:spacing w:val="-6"/>
                <w:kern w:val="0"/>
                <w:sz w:val="20"/>
                <w:szCs w:val="20"/>
              </w:rPr>
              <w:t>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以上、10 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以下，单项</w:t>
            </w:r>
            <w:r>
              <w:rPr>
                <w:rFonts w:hint="eastAsia" w:asciiTheme="minorEastAsia" w:hAnsiTheme="minorEastAsia" w:cstheme="minorEastAsia"/>
                <w:color w:val="000000"/>
                <w:kern w:val="0"/>
                <w:sz w:val="20"/>
                <w:szCs w:val="20"/>
              </w:rPr>
              <w:t>工程合同额1000万元以上、4000万元以下。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适用于设计和建设管理类人员。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82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（1）路基工程：城市快速路、主（次）干道路基工程2km以上、5km以下,单项工程合同额</w:t>
            </w:r>
            <w:r>
              <w:rPr>
                <w:rFonts w:hint="eastAsia" w:asciiTheme="minorEastAsia" w:hAnsiTheme="minorEastAsia" w:cstheme="minorEastAsia"/>
                <w:color w:val="000000"/>
                <w:spacing w:val="-9"/>
                <w:kern w:val="0"/>
                <w:sz w:val="20"/>
                <w:szCs w:val="20"/>
              </w:rPr>
              <w:t>1000万元以上、4000万元以下；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（2）路面工程：高等级路面5万m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以上、10 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以下，单项工程合同额1000万元以上、4000万元以下。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适用于除设计和建设管理类外其他人员。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762"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城市支路（含交通工程）。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适用于设计和建设管理类人员。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652" w:hRule="exac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（1）路基工程：城市次干道路基工程2km以下，单项工程合同额1000万元以下；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（2）路面工程：次高等级路面，单项工程合同额1000万元以下。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适用于除设计和建设管理类外其他人员。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94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桥梁工程</w:t>
            </w:r>
          </w:p>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（1）单跨跨度40m以上；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（2）总长100m以上的桥梁；</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（3）单项工程合同额3000万元以上。</w:t>
            </w:r>
          </w:p>
        </w:tc>
        <w:tc>
          <w:tcPr>
            <w:tcW w:w="1701" w:type="dxa"/>
            <w:vMerge w:val="restart"/>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9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（1）单跨跨度20m以上、40m以下；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（2）总长30m以上、100m以下的桥梁；</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（3）单项工程合同额1000万元以上、3000万元以下。</w:t>
            </w:r>
          </w:p>
        </w:tc>
        <w:tc>
          <w:tcPr>
            <w:tcW w:w="1701" w:type="dxa"/>
            <w:vMerge w:val="continue"/>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101"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（1）单跨跨度20m以下；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（2）总长30m以下的桥梁；</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（3）单项工程合同额1000万元以下。</w:t>
            </w:r>
          </w:p>
        </w:tc>
        <w:tc>
          <w:tcPr>
            <w:tcW w:w="1701" w:type="dxa"/>
            <w:vMerge w:val="continue"/>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53" w:hRule="exac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w:t>
            </w:r>
          </w:p>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隧道工程和地下道路工程</w:t>
            </w:r>
          </w:p>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（1）内径（宽或高）5m以上，或单洞洞长1000m以上；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（2）单项工程合同额3000万元以上。</w:t>
            </w:r>
          </w:p>
        </w:tc>
        <w:tc>
          <w:tcPr>
            <w:tcW w:w="1701" w:type="dxa"/>
            <w:vMerge w:val="restart"/>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1.含地下过街通道；小型工程不含盾构施工。</w:t>
            </w:r>
          </w:p>
          <w:p>
            <w:pPr>
              <w:widowControl/>
              <w:spacing w:line="260" w:lineRule="exact"/>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2.隧道是修建在地下、内部净空断面在2m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以上，两端有出口，供行人车辆等通行的工程建筑。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55" w:hRule="exac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（1）内径（宽或高）3m以上、5m以下；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（2）单项工程合同额1000万元以上、3000万元以下。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57" w:hRule="exac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（1）内径（宽或高）3m以下，且内部净空断面在2m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（2）单项工程合同额1000万元以下。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05"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城市轨道交通工程</w:t>
            </w: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城市轨道交通工程的车站、区间、车辆段及停车场的单位工程或工程造价1亿元以上的城市轨道交通工程。</w:t>
            </w:r>
          </w:p>
        </w:tc>
        <w:tc>
          <w:tcPr>
            <w:tcW w:w="1701"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7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工程造价1亿元以下的城市轨道交通工程。</w:t>
            </w:r>
          </w:p>
        </w:tc>
        <w:tc>
          <w:tcPr>
            <w:tcW w:w="1701"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5"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城市公共广场</w:t>
            </w: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广场面积5万m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以上，单项工程合同额3000万元以上。</w:t>
            </w:r>
          </w:p>
        </w:tc>
        <w:tc>
          <w:tcPr>
            <w:tcW w:w="1701"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含体育场。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6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广场面积2万m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以下，单项工程合同额1000万元以上、3000万元以下。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1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单项工程合同额1000万元以下。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交通安全设施</w:t>
            </w: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单项工程合同额500万元以上。</w:t>
            </w:r>
          </w:p>
        </w:tc>
        <w:tc>
          <w:tcPr>
            <w:tcW w:w="1701"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r>
              <w:rPr>
                <w:rFonts w:hint="eastAsia" w:asciiTheme="minorEastAsia" w:hAnsiTheme="minorEastAsia" w:cstheme="minorEastAsia"/>
                <w:color w:val="000000"/>
                <w:kern w:val="0"/>
                <w:sz w:val="20"/>
                <w:szCs w:val="20"/>
              </w:rPr>
              <w:t>含护栏、隔离带，防护墩。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单项工程合同额200万元以上、500万元以下。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rPr>
            </w:pPr>
          </w:p>
        </w:tc>
      </w:tr>
    </w:tbl>
    <w:p>
      <w:pPr>
        <w:spacing w:line="16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十一、给排水工程专业（1）</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给水厂</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给水泵站</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给水管网</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管道直径1600mm以上，且管线长度1km以上。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管道直径1000mm以上、1600mm以下，且管线长度1km以上。</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管道直径1000mm以上，且管线长度1km以上。</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污水处理厂</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规模8万m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规模4万m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/日以上，8万m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规模4万m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排水泵站</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排水管网</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管道直径1500mm以上，且管线长度1km以上。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管道直径1000mm以上、1500mm以下，且管线长度1km以上。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管道直径1000mm以下，且管线长度1km以上。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spacing w:val="-34"/>
                <w:kern w:val="0"/>
                <w:sz w:val="20"/>
                <w:szCs w:val="20"/>
              </w:rPr>
            </w:pPr>
            <w:r>
              <w:rPr>
                <w:rFonts w:hint="eastAsia" w:asciiTheme="minorEastAsia" w:hAnsiTheme="minorEastAsia" w:cstheme="minorEastAsia"/>
                <w:color w:val="000000"/>
                <w:spacing w:val="-11"/>
                <w:kern w:val="0"/>
                <w:sz w:val="20"/>
                <w:szCs w:val="20"/>
              </w:rPr>
              <w:t>综合工程</w:t>
            </w:r>
            <w:r>
              <w:rPr>
                <w:rFonts w:hint="eastAsia" w:asciiTheme="minorEastAsia" w:hAnsiTheme="minorEastAsia" w:cstheme="minorEastAsia"/>
                <w:color w:val="000000"/>
                <w:spacing w:val="-11"/>
                <w:kern w:val="0"/>
                <w:sz w:val="20"/>
                <w:szCs w:val="20"/>
              </w:rPr>
              <w:br w:type="textWrapping"/>
            </w:r>
            <w:r>
              <w:rPr>
                <w:rFonts w:hint="eastAsia" w:asciiTheme="minorEastAsia" w:hAnsiTheme="minorEastAsia" w:cstheme="minorEastAsia"/>
                <w:color w:val="000000"/>
                <w:spacing w:val="-20"/>
                <w:kern w:val="0"/>
                <w:sz w:val="20"/>
                <w:szCs w:val="20"/>
              </w:rPr>
              <w:t>(城市</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11"/>
                <w:kern w:val="0"/>
                <w:sz w:val="20"/>
                <w:szCs w:val="20"/>
              </w:rPr>
              <w:t>地下综合</w:t>
            </w:r>
            <w:r>
              <w:rPr>
                <w:rFonts w:hint="eastAsia" w:asciiTheme="minorEastAsia" w:hAnsiTheme="minorEastAsia" w:cstheme="minorEastAsia"/>
                <w:color w:val="000000"/>
                <w:spacing w:val="-17"/>
                <w:kern w:val="0"/>
                <w:sz w:val="20"/>
                <w:szCs w:val="20"/>
              </w:rPr>
              <w:t>管廊、</w:t>
            </w:r>
            <w:r>
              <w:rPr>
                <w:rFonts w:hint="eastAsia" w:asciiTheme="minorEastAsia" w:hAnsiTheme="minorEastAsia" w:cstheme="minorEastAsia"/>
                <w:color w:val="000000"/>
                <w:spacing w:val="-11"/>
                <w:kern w:val="0"/>
                <w:sz w:val="20"/>
                <w:szCs w:val="20"/>
              </w:rPr>
              <w:t>黑臭水体</w:t>
            </w:r>
            <w:r>
              <w:rPr>
                <w:rFonts w:hint="eastAsia" w:asciiTheme="minorEastAsia" w:hAnsiTheme="minorEastAsia" w:cstheme="minorEastAsia"/>
                <w:color w:val="000000"/>
                <w:spacing w:val="-17"/>
                <w:kern w:val="0"/>
                <w:sz w:val="20"/>
                <w:szCs w:val="20"/>
              </w:rPr>
              <w:t>整治、</w:t>
            </w:r>
            <w:r>
              <w:rPr>
                <w:rFonts w:hint="eastAsia" w:asciiTheme="minorEastAsia" w:hAnsiTheme="minorEastAsia" w:cstheme="minorEastAsia"/>
                <w:color w:val="000000"/>
                <w:spacing w:val="-11"/>
                <w:kern w:val="0"/>
                <w:sz w:val="20"/>
                <w:szCs w:val="20"/>
              </w:rPr>
              <w:t>水环境生态综合治理工程）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项目投资工程费用5000万元以上。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项目投资工程费用3000万元以上、5000万元以下。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项目投资工程费用3000万元以下。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bl>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注：本表适合于设计人员和建设单位工程管理人员。</w:t>
      </w:r>
    </w:p>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p>
    <w:p>
      <w:pPr>
        <w:spacing w:line="220" w:lineRule="exact"/>
        <w:rPr>
          <w:rFonts w:ascii="方正楷体_GBK" w:hAnsi="方正楷体_GBK" w:eastAsia="方正楷体_GBK" w:cs="方正楷体_GBK"/>
          <w:sz w:val="20"/>
          <w:szCs w:val="20"/>
        </w:rPr>
      </w:pP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十一、给排水工程专业（2）</w:t>
      </w:r>
    </w:p>
    <w:p>
      <w:pPr>
        <w:spacing w:line="400" w:lineRule="exact"/>
        <w:jc w:val="center"/>
        <w:rPr>
          <w:rFonts w:ascii="方正楷体_GBK" w:hAnsi="方正楷体_GBK" w:eastAsia="方正楷体_GBK" w:cs="方正楷体_GBK"/>
          <w:sz w:val="20"/>
          <w:szCs w:val="20"/>
        </w:rPr>
      </w:pP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1"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给水厂</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/日以上，且单项合同额3000万元以上的供水厂工程。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6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6"/>
                <w:kern w:val="0"/>
                <w:sz w:val="20"/>
                <w:szCs w:val="20"/>
              </w:rPr>
              <w:t>8万m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/日以上、20万m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/日以下，且单项合同额2000万元以上的供水厂工程。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6"/>
                <w:kern w:val="0"/>
                <w:sz w:val="20"/>
                <w:szCs w:val="20"/>
              </w:rPr>
              <w:t>5万m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/日以上、8万m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/日以下，且单项合同额2000万元以下的供水厂工程。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给水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泵站</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给水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管网</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管道直径1600mm以上，且管线长度10km以上的供水管道工程。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管道直径600mm以上、1600mm以下，且管线长度5km以上的供水管道工程。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管道直径400mm以上、600mm以下，且管线长度1km以上的供水管道工程。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污水</w:t>
            </w:r>
          </w:p>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处理厂</w:t>
            </w: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/日以上，且单项工程合同额3000万元以上的污水处理工程。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5万m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/日以上、10万m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/日以下，且单项合同额2000万元以上的污水处理工程。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3万m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/日以上、5万m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/日以下，且单项合同额2000万元以下的污水处理工程。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排水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泵站</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规模10万m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排水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管网</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管道直径1600mm以上，且管线长度10km以上。</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管道直径600mm以上、1600mm以下，且管线长度5km以上。</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8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spacing w:val="-11"/>
                <w:kern w:val="0"/>
                <w:sz w:val="20"/>
                <w:szCs w:val="20"/>
              </w:rPr>
            </w:pPr>
            <w:r>
              <w:rPr>
                <w:rFonts w:hint="eastAsia" w:asciiTheme="minorEastAsia" w:hAnsiTheme="minorEastAsia" w:cstheme="minorEastAsia"/>
                <w:color w:val="000000"/>
                <w:spacing w:val="-11"/>
                <w:kern w:val="0"/>
                <w:sz w:val="20"/>
                <w:szCs w:val="20"/>
              </w:rPr>
              <w:t>综合</w:t>
            </w:r>
          </w:p>
          <w:p>
            <w:pPr>
              <w:widowControl/>
              <w:spacing w:line="220" w:lineRule="exact"/>
              <w:jc w:val="center"/>
              <w:textAlignment w:val="center"/>
              <w:rPr>
                <w:rFonts w:asciiTheme="minorEastAsia" w:hAnsiTheme="minorEastAsia" w:cstheme="minorEastAsia"/>
                <w:color w:val="000000"/>
                <w:spacing w:val="-11"/>
                <w:kern w:val="0"/>
                <w:sz w:val="20"/>
                <w:szCs w:val="20"/>
              </w:rPr>
            </w:pPr>
            <w:r>
              <w:rPr>
                <w:rFonts w:hint="eastAsia" w:asciiTheme="minorEastAsia" w:hAnsiTheme="minorEastAsia" w:cstheme="minorEastAsia"/>
                <w:color w:val="000000"/>
                <w:spacing w:val="-11"/>
                <w:kern w:val="0"/>
                <w:sz w:val="20"/>
                <w:szCs w:val="20"/>
              </w:rPr>
              <w:t>工程</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20"/>
                <w:kern w:val="0"/>
                <w:sz w:val="20"/>
                <w:szCs w:val="20"/>
              </w:rPr>
              <w:t>(城市</w:t>
            </w:r>
            <w:r>
              <w:rPr>
                <w:rFonts w:hint="eastAsia" w:asciiTheme="minorEastAsia" w:hAnsiTheme="minorEastAsia" w:cstheme="minorEastAsia"/>
                <w:color w:val="000000"/>
                <w:spacing w:val="-11"/>
                <w:kern w:val="0"/>
                <w:sz w:val="20"/>
                <w:szCs w:val="20"/>
              </w:rPr>
              <w:t>地下综合</w:t>
            </w:r>
            <w:r>
              <w:rPr>
                <w:rFonts w:hint="eastAsia" w:asciiTheme="minorEastAsia" w:hAnsiTheme="minorEastAsia" w:cstheme="minorEastAsia"/>
                <w:color w:val="000000"/>
                <w:spacing w:val="-17"/>
                <w:kern w:val="0"/>
                <w:sz w:val="20"/>
                <w:szCs w:val="20"/>
              </w:rPr>
              <w:t>管廊、</w:t>
            </w:r>
            <w:r>
              <w:rPr>
                <w:rFonts w:hint="eastAsia" w:asciiTheme="minorEastAsia" w:hAnsiTheme="minorEastAsia" w:cstheme="minorEastAsia"/>
                <w:color w:val="000000"/>
                <w:spacing w:val="-11"/>
                <w:kern w:val="0"/>
                <w:sz w:val="20"/>
                <w:szCs w:val="20"/>
              </w:rPr>
              <w:t>黑臭水体</w:t>
            </w:r>
            <w:r>
              <w:rPr>
                <w:rFonts w:hint="eastAsia" w:asciiTheme="minorEastAsia" w:hAnsiTheme="minorEastAsia" w:cstheme="minorEastAsia"/>
                <w:color w:val="000000"/>
                <w:spacing w:val="-17"/>
                <w:kern w:val="0"/>
                <w:sz w:val="20"/>
                <w:szCs w:val="20"/>
              </w:rPr>
              <w:t>整治、</w:t>
            </w:r>
            <w:r>
              <w:rPr>
                <w:rFonts w:hint="eastAsia" w:asciiTheme="minorEastAsia" w:hAnsiTheme="minorEastAsia" w:cstheme="minorEastAsia"/>
                <w:color w:val="000000"/>
                <w:spacing w:val="-11"/>
                <w:kern w:val="0"/>
                <w:sz w:val="20"/>
                <w:szCs w:val="20"/>
              </w:rPr>
              <w:t>水环境生态综合治理工程）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单项合同额5000万元以上。</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8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单项合同额3000万元以上、5000万元以下。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8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单项合同额3000万元以下。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bl>
    <w:p>
      <w:pPr>
        <w:spacing w:beforeLines="25" w:line="220" w:lineRule="exact"/>
        <w:jc w:val="lef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注：本表适合于设计人员和建设单位工程管理人员以外的相关人员，如：监理、质检、造价等。</w:t>
      </w: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十二、给排水——水质监测专业</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04"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56"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水质</w:t>
            </w:r>
          </w:p>
          <w:p>
            <w:pPr>
              <w:widowControl/>
              <w:spacing w:line="30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监测</w:t>
            </w:r>
          </w:p>
        </w:tc>
        <w:tc>
          <w:tcPr>
            <w:tcW w:w="850" w:type="dxa"/>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（1）国家或省市下达的重大监测任务，供水、排水监测分析新项目的开发与验证等；</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（2）为设区城市制定供水排水规划及有关法规、标准、规范修订提供水质监测依据的专项水质报告；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（3）城市（设区城市）供水排水监测发展规划；</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（4）大型供排水设施的化验、检验中心的建设和验收；</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（5）完成申报国家或省级监测中心申报或建设；</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（6）获得CMA认证的检测授权人资格。</w:t>
            </w:r>
          </w:p>
        </w:tc>
        <w:tc>
          <w:tcPr>
            <w:tcW w:w="1134" w:type="dxa"/>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28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（1）为县级城市制定供水排水规划及有关法规、标准、规范修订提供水质监测依据的专项水质报告；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（2）县级城市供水排水监测发展规划；</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（3）相关主管部门举办的能力考核、能力验证，每获得1项检测指标合格；</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（4）中型以上自来水厂（含水源）或污水处理厂水质监测和水质分析报告；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（5）获得CMA认证的小型自来水厂（含水源）或污水处理厂水质监测和水质分析报告；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（6）政府要求的城市供排水、城市水体年度水质监测报告或中型规模项目的水质分析专项报告；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（7）中型供排水设施的化验、检验中心的建设和验收；</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（8）完成累计处理规模大于10万m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/d的化验或检测中心的质量管理文件编制；</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（9）为城市自来水厂和污水厂建设提供水质监测依据。</w:t>
            </w:r>
          </w:p>
        </w:tc>
        <w:tc>
          <w:tcPr>
            <w:tcW w:w="1134" w:type="dxa"/>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798"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（1）每两类水质指标检测；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（2）小型供排水设施的化验、检验中心的建设和验收。</w:t>
            </w:r>
          </w:p>
        </w:tc>
        <w:tc>
          <w:tcPr>
            <w:tcW w:w="1134" w:type="dxa"/>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十三、建筑电气专业</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机电安装</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单项工程合同额2000万元以上的机电安装工程。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单项工程合同额500万元以上、2000万元以下的机电安装工程。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单项工程合同额500万元以下的机电安装工程。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消防</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单体建筑面积2万m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以上的消防设施工程。</w:t>
            </w:r>
          </w:p>
        </w:tc>
        <w:tc>
          <w:tcPr>
            <w:tcW w:w="1134" w:type="dxa"/>
            <w:vMerge w:val="restart"/>
            <w:tcBorders>
              <w:tl2br w:val="nil"/>
              <w:tr2bl w:val="nil"/>
            </w:tcBorders>
            <w:shd w:val="clear" w:color="auto" w:fill="auto"/>
            <w:vAlign w:val="center"/>
          </w:tcPr>
          <w:p>
            <w:pPr>
              <w:widowControl/>
              <w:spacing w:line="21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消防工程均含火灾自动报警</w:t>
            </w:r>
            <w:r>
              <w:rPr>
                <w:rFonts w:hint="eastAsia" w:asciiTheme="minorEastAsia" w:hAnsiTheme="minorEastAsia" w:cstheme="minorEastAsia"/>
                <w:color w:val="000000"/>
                <w:spacing w:val="-20"/>
                <w:kern w:val="0"/>
                <w:sz w:val="20"/>
                <w:szCs w:val="20"/>
              </w:rPr>
              <w:t>系统、自</w:t>
            </w:r>
            <w:r>
              <w:rPr>
                <w:rFonts w:hint="eastAsia" w:asciiTheme="minorEastAsia" w:hAnsiTheme="minorEastAsia" w:cstheme="minorEastAsia"/>
                <w:color w:val="000000"/>
                <w:kern w:val="0"/>
                <w:sz w:val="20"/>
                <w:szCs w:val="20"/>
              </w:rPr>
              <w:t>动灭火系统和防烟排烟系统。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单体建筑面积1万m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以下消防设施工程。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单体建筑面积1万m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以下的消防设施工程。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建筑智能化</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单项工程合同额1000万元以上的电子与建筑智能化工程。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单项工程合同额200万元以上、1000万元以下的电子与建筑智能化工程。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单项工程合同额200万元以下的电子与建筑智能化工程。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电子工程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单项工程合同额1000万元以上的电子工程。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单项工程合同额200万元以上、1000万元以下的电子工程。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单项工程合同额200万元以下的电子工程。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变配电站工程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（1）电压35kV以上的变配电站（所）工程；</w:t>
            </w:r>
            <w:r>
              <w:rPr>
                <w:rFonts w:hint="eastAsia" w:asciiTheme="minorEastAsia" w:hAnsiTheme="minorEastAsia" w:cstheme="minorEastAsia"/>
                <w:color w:val="000000"/>
                <w:spacing w:val="-9"/>
                <w:kern w:val="0"/>
                <w:sz w:val="20"/>
                <w:szCs w:val="20"/>
              </w:rPr>
              <w:br w:type="textWrapping"/>
            </w:r>
            <w:r>
              <w:rPr>
                <w:rFonts w:hint="eastAsia" w:asciiTheme="minorEastAsia" w:hAnsiTheme="minorEastAsia" w:cstheme="minorEastAsia"/>
                <w:color w:val="000000"/>
                <w:spacing w:val="-9"/>
                <w:kern w:val="0"/>
                <w:sz w:val="20"/>
                <w:szCs w:val="20"/>
              </w:rPr>
              <w:t>（2）</w:t>
            </w:r>
            <w:r>
              <w:rPr>
                <w:rFonts w:hint="eastAsia" w:asciiTheme="minorEastAsia" w:hAnsiTheme="minorEastAsia" w:cstheme="minorEastAsia"/>
                <w:color w:val="000000"/>
                <w:kern w:val="0"/>
                <w:sz w:val="20"/>
                <w:szCs w:val="20"/>
              </w:rPr>
              <w:t>电压20kV以下，且变压器安装容量5000kVA以上的变配电站（所）工程；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（3）</w:t>
            </w:r>
            <w:r>
              <w:rPr>
                <w:rFonts w:hint="eastAsia" w:asciiTheme="minorEastAsia" w:hAnsiTheme="minorEastAsia" w:cstheme="minorEastAsia"/>
                <w:color w:val="000000"/>
                <w:kern w:val="0"/>
                <w:sz w:val="20"/>
                <w:szCs w:val="20"/>
              </w:rPr>
              <w:t>电压10kV，且变压器安装容量5000kVA以上的变配电站（所）工程。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（1</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spacing w:val="-9"/>
                <w:kern w:val="0"/>
                <w:sz w:val="20"/>
                <w:szCs w:val="20"/>
              </w:rPr>
              <w:t>电压20kV，且变压器安装容量1600kVA</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spacing w:val="-9"/>
                <w:kern w:val="0"/>
                <w:sz w:val="20"/>
                <w:szCs w:val="20"/>
              </w:rPr>
              <w:t>5000kVA的变配电站（所）工程；</w:t>
            </w:r>
            <w:r>
              <w:rPr>
                <w:rFonts w:hint="eastAsia" w:asciiTheme="minorEastAsia" w:hAnsiTheme="minorEastAsia" w:cstheme="minorEastAsia"/>
                <w:color w:val="000000"/>
                <w:spacing w:val="-9"/>
                <w:kern w:val="0"/>
                <w:sz w:val="20"/>
                <w:szCs w:val="20"/>
              </w:rPr>
              <w:br w:type="textWrapping"/>
            </w:r>
            <w:r>
              <w:rPr>
                <w:rFonts w:hint="eastAsia" w:asciiTheme="minorEastAsia" w:hAnsiTheme="minorEastAsia" w:cstheme="minorEastAsia"/>
                <w:color w:val="000000"/>
                <w:spacing w:val="-9"/>
                <w:kern w:val="0"/>
                <w:sz w:val="20"/>
                <w:szCs w:val="20"/>
              </w:rPr>
              <w:t>（2</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spacing w:val="-9"/>
                <w:kern w:val="0"/>
                <w:sz w:val="20"/>
                <w:szCs w:val="20"/>
              </w:rPr>
              <w:t>电压10kV，且变压器安装容量1600kVA</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spacing w:val="-9"/>
                <w:kern w:val="0"/>
                <w:sz w:val="20"/>
                <w:szCs w:val="20"/>
              </w:rPr>
              <w:t>5000kVA的变配电站（所）工程。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（1</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kern w:val="0"/>
                <w:sz w:val="20"/>
                <w:szCs w:val="20"/>
              </w:rPr>
              <w:t>电压20kV，且变压器安装容量1600kVA以上的变配电站（所）工程；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（2）</w:t>
            </w:r>
            <w:r>
              <w:rPr>
                <w:rFonts w:hint="eastAsia" w:asciiTheme="minorEastAsia" w:hAnsiTheme="minorEastAsia" w:cstheme="minorEastAsia"/>
                <w:color w:val="000000"/>
                <w:kern w:val="0"/>
                <w:sz w:val="20"/>
                <w:szCs w:val="20"/>
              </w:rPr>
              <w:t>电压10kV，且变压器安装容量1600kVA以下的变配电站（所）工程。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电气动力照明工程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单项工程合同额1000万元以上的电气动力照明工程。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单项工程合同额200万元以上、1000万元以下的电气动力照明工程。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单项工程合同额200万元以下的电气动力照明工程。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bl>
    <w:p>
      <w:pPr>
        <w:spacing w:line="16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注：与主体建筑配套的电气工程，其项目规模划分参照建筑工程项目规模。</w:t>
      </w:r>
    </w:p>
    <w:p>
      <w:pPr>
        <w:spacing w:line="16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十四、建筑机械专业</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98" w:hRule="exact"/>
          <w:tblHeader/>
          <w:jc w:val="center"/>
        </w:trPr>
        <w:tc>
          <w:tcPr>
            <w:tcW w:w="567"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940"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起重设备安装工程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安装拆卸1600kN·m以上塔式起重机，或安装拆卸100T以上门式起重机。</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186"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安装拆卸630kN·m以上1600kN·m以下塔式起重机，或安装拆卸50T以上、100T以下门式起重机。</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235"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安装拆卸630kN·m以下塔式起重机，或安装拆卸50T以下门式起重机。</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956"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电梯安装及维修工程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电梯运行速度2.5m/s以上，且台数4台以上。</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86"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电梯运行速度大于2.5m/s以上，且台数4台以下；或电梯运行速度1m/s以上、2.5m/s以下。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95"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电梯运行速度1m/s以下。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十五、暖通专业</w:t>
      </w:r>
    </w:p>
    <w:tbl>
      <w:tblPr>
        <w:tblStyle w:val="7"/>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10" w:hRule="atLeast"/>
          <w:tblHeader/>
          <w:jc w:val="center"/>
        </w:trPr>
        <w:tc>
          <w:tcPr>
            <w:tcW w:w="567"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热力工程设计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热源厂</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（1）热水锅炉≥3×58MW；</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（2）蒸汽锅炉≥3×75t/h；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（3）供热面积≥500万m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restart"/>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highlight w:val="yellow"/>
              </w:rPr>
            </w:pPr>
            <w:r>
              <w:rPr>
                <w:rFonts w:hint="eastAsia" w:asciiTheme="minorEastAsia" w:hAnsiTheme="minorEastAsia" w:cstheme="minorEastAsia"/>
                <w:color w:val="000000"/>
                <w:kern w:val="0"/>
                <w:sz w:val="20"/>
                <w:szCs w:val="20"/>
              </w:rPr>
              <w:t>以供热、制冷为主，单台≤</w:t>
            </w:r>
            <w:r>
              <w:rPr>
                <w:rFonts w:asciiTheme="minorEastAsia" w:hAnsiTheme="minorEastAsia" w:cstheme="minorEastAsia"/>
                <w:color w:val="000000"/>
                <w:kern w:val="0"/>
                <w:sz w:val="20"/>
                <w:szCs w:val="20"/>
              </w:rPr>
              <w:t>25MW的小型热电厂也属大型项目。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76"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（1）热水锅炉3×14 ～ 3×58MW；</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（2）蒸汽锅炉3×20 ～ 3×75t/h；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（3）供热面积150 ～ 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14"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供热面积＜150m</w:t>
            </w:r>
            <w:r>
              <w:rPr>
                <w:rFonts w:hint="eastAsia" w:asciiTheme="minorEastAsia" w:hAnsiTheme="minorEastAsia" w:cstheme="minorEastAsia"/>
                <w:color w:val="000000"/>
                <w:kern w:val="0"/>
                <w:sz w:val="20"/>
                <w:szCs w:val="20"/>
                <w:vertAlign w:val="superscript"/>
              </w:rPr>
              <w:t>2</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热力工程设计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热网系统</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（1）城市供热一级网，DN≥800mm；</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（2）热力站；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（3）供热面积≥500万m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（1）城市供热一级网，DN＜800mm；</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（2）供热面积150 ～ 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（1）城市供热二级网，DN＜400mm；</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（2）供热面积＜150万m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36"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7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可再生能源工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程设计</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单项投资额≥1000万元。</w:t>
            </w:r>
          </w:p>
        </w:tc>
        <w:tc>
          <w:tcPr>
            <w:tcW w:w="1134"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30"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单项投资额＜1000万元。</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城市供热工程施工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热源工程</w:t>
            </w: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（1）产热量≥250t/h；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（3）单项工程合同额≥3000万元。</w:t>
            </w:r>
          </w:p>
        </w:tc>
        <w:tc>
          <w:tcPr>
            <w:tcW w:w="1134"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（1）产热量80 ～ 250t/h；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（2）供热面积10 ～ 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 ～ 3000万元。</w:t>
            </w:r>
          </w:p>
        </w:tc>
        <w:tc>
          <w:tcPr>
            <w:tcW w:w="1134"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（1）产热量＜80t/h；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（3）单项工程合同额＜1000万元。</w:t>
            </w:r>
          </w:p>
        </w:tc>
        <w:tc>
          <w:tcPr>
            <w:tcW w:w="1134"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78" w:hRule="exac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城市供热工程施工管道工程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DN≥500mm，且单项工程合同额≥3000万元。</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00" w:hRule="exac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200mm≤DN＜500mm，且单项工程合同额≥1000万元。</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07" w:hRule="exac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DN＜200mm。</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注：与主体建筑配套的暖通工程，其项目规模划分参照建筑工程项目规模。</w:t>
      </w:r>
    </w:p>
    <w:p>
      <w:pPr>
        <w:spacing w:line="16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十六、燃气专业</w:t>
      </w:r>
    </w:p>
    <w:tbl>
      <w:tblPr>
        <w:tblStyle w:val="7"/>
        <w:tblW w:w="10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65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651"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09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燃气工程设计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城市燃气输配系统</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10000万m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/年以上（高、次高、中、低压）。</w:t>
            </w:r>
          </w:p>
        </w:tc>
        <w:tc>
          <w:tcPr>
            <w:tcW w:w="1090" w:type="dxa"/>
            <w:vMerge w:val="restart"/>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门站、储备站、调压站、各级压力管网系统的整体项目均属大型项目。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10000万m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/年以下（次高、中、低压）。</w:t>
            </w:r>
          </w:p>
        </w:tc>
        <w:tc>
          <w:tcPr>
            <w:tcW w:w="1090" w:type="dxa"/>
            <w:vMerge w:val="continue"/>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小区管网及户内管（中、低压）。</w:t>
            </w:r>
          </w:p>
        </w:tc>
        <w:tc>
          <w:tcPr>
            <w:tcW w:w="1090" w:type="dxa"/>
            <w:vMerge w:val="continue"/>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燃气工程设计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人工气源厂</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090" w:type="dxa"/>
            <w:vMerge w:val="restart"/>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含燃气汽车加气站。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燃气工程设计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城市液化石油气储备站</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罐装能力4000瓶/日以上。</w:t>
            </w:r>
          </w:p>
        </w:tc>
        <w:tc>
          <w:tcPr>
            <w:tcW w:w="1090" w:type="dxa"/>
            <w:vMerge w:val="restart"/>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罐装能力1000瓶/日以上、4000瓶/日以下。</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1000瓶/日以下罐装能力。</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城市供气施工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燃气源工程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日产气量30万m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以上，且单项工程合同额3000万元以上。</w:t>
            </w:r>
          </w:p>
        </w:tc>
        <w:tc>
          <w:tcPr>
            <w:tcW w:w="1090" w:type="dxa"/>
            <w:vMerge w:val="restart"/>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日产气量10万m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以下，且单项工程合同额1000万元以上。</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日产气量10万m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城市供气施工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燃气管道工程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高压以上管道，且单项工程合同额3000万元以上。</w:t>
            </w:r>
          </w:p>
        </w:tc>
        <w:tc>
          <w:tcPr>
            <w:tcW w:w="1090" w:type="dxa"/>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次高压管道，且单项工程合同额1000万元以上。</w:t>
            </w:r>
          </w:p>
        </w:tc>
        <w:tc>
          <w:tcPr>
            <w:tcW w:w="1090" w:type="dxa"/>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中压以下管道。</w:t>
            </w:r>
          </w:p>
        </w:tc>
        <w:tc>
          <w:tcPr>
            <w:tcW w:w="1090" w:type="dxa"/>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83"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城市供气施工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储备</w:t>
            </w:r>
            <w:r>
              <w:rPr>
                <w:rFonts w:hint="eastAsia" w:asciiTheme="minorEastAsia" w:hAnsiTheme="minorEastAsia" w:cstheme="minorEastAsia"/>
                <w:color w:val="000000"/>
                <w:spacing w:val="-34"/>
                <w:kern w:val="0"/>
                <w:sz w:val="20"/>
                <w:szCs w:val="20"/>
              </w:rPr>
              <w:t>厂</w:t>
            </w:r>
            <w:r>
              <w:rPr>
                <w:rFonts w:hint="eastAsia" w:asciiTheme="minorEastAsia" w:hAnsiTheme="minorEastAsia" w:cstheme="minorEastAsia"/>
                <w:color w:val="000000"/>
                <w:spacing w:val="-17"/>
                <w:kern w:val="0"/>
                <w:sz w:val="20"/>
                <w:szCs w:val="20"/>
              </w:rPr>
              <w:t>(站)</w:t>
            </w:r>
            <w:r>
              <w:rPr>
                <w:rFonts w:hint="eastAsia" w:asciiTheme="minorEastAsia" w:hAnsiTheme="minorEastAsia" w:cstheme="minorEastAsia"/>
                <w:color w:val="000000"/>
                <w:spacing w:val="-20"/>
                <w:kern w:val="0"/>
                <w:sz w:val="20"/>
                <w:szCs w:val="20"/>
              </w:rPr>
              <w:t>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（1）设计压力2.5MPa以上的液化石油气；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（2）总贮存容积1000m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（3）400m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以上的液化天然气贮罐厂（站）；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（4）供气规模15万m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/日以上的燃气工程，且单项工程合同额3000万元以上。</w:t>
            </w:r>
          </w:p>
        </w:tc>
        <w:tc>
          <w:tcPr>
            <w:tcW w:w="1090" w:type="dxa"/>
            <w:vMerge w:val="restart"/>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含调压站、混气站、气化站、压缩天然气站、汽车加气站等。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83"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（1）设计压力2.0MPa以上、2.5MPa以下的液化石油气；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（2）总贮存容积500m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以上、1000m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（3）200m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以上、4000m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以下的液化天然气贮罐厂（站）；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（4）供气规模5万m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/日以下的燃气工程且单项合同额1000万元以上工程。</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（1）设计压力2.0MPa以下的液化石油气；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（2）总贮存容积500 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（3）200m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以下的液化天然气贮罐厂（站）；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（4）供气规模5万m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/日以下的燃气工程。</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bl>
    <w:p>
      <w:pPr>
        <w:spacing w:line="16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numPr>
          <w:ilvl w:val="0"/>
          <w:numId w:val="2"/>
        </w:num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城乡设计专业</w:t>
      </w:r>
    </w:p>
    <w:tbl>
      <w:tblPr>
        <w:tblStyle w:val="7"/>
        <w:tblW w:w="9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296"/>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规模</w:t>
            </w:r>
          </w:p>
        </w:tc>
        <w:tc>
          <w:tcPr>
            <w:tcW w:w="6296"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参考标准</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29"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1</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历史文化名城名镇名村街</w:t>
            </w:r>
            <w:r>
              <w:rPr>
                <w:rFonts w:hint="eastAsia" w:asciiTheme="minorEastAsia" w:hAnsiTheme="minorEastAsia" w:cstheme="minorEastAsia"/>
                <w:color w:val="000000" w:themeColor="text1"/>
                <w:spacing w:val="-11"/>
                <w:kern w:val="0"/>
                <w:sz w:val="20"/>
                <w:szCs w:val="20"/>
              </w:rPr>
              <w:t>区规</w:t>
            </w:r>
            <w:r>
              <w:rPr>
                <w:rFonts w:hint="eastAsia" w:asciiTheme="minorEastAsia" w:hAnsiTheme="minorEastAsia" w:cstheme="minorEastAsia"/>
                <w:color w:val="000000" w:themeColor="text1"/>
                <w:kern w:val="0"/>
                <w:sz w:val="20"/>
                <w:szCs w:val="20"/>
              </w:rPr>
              <w:t>划、传统村落保护发展规划</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大</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跨市域、设区市市域历史文化资源保护规划（包括历史文化资源、历史建筑、传统村落等）或国家级历史文化名城名镇名村街区保护规划、省级历史文化名城保护规划</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03"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中</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国家级传统村落保护规划、省级历史文化名镇名村街区规划、县域（含县级市）历史文化资源保护规划</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19"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小</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省级传统村落保护规划、历史建筑保护规划</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2</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城市设计</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大</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设区市总体城市设计、重点地段城市设计</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中</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县城（含县级市）总体城市设计、重点地区城市设计、特色小镇城市设计</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小</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rPr>
              <w:t>一般地区城市设计</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bl>
    <w:p>
      <w:pPr>
        <w:spacing w:line="160" w:lineRule="exact"/>
        <w:rPr>
          <w:rFonts w:ascii="方正楷体_GBK" w:hAnsi="方正楷体_GBK" w:eastAsia="方正楷体_GBK" w:cs="方正楷体_GBK"/>
          <w:sz w:val="20"/>
          <w:szCs w:val="20"/>
        </w:rPr>
      </w:pPr>
    </w:p>
    <w:p>
      <w:pPr>
        <w:spacing w:line="160" w:lineRule="exact"/>
        <w:rPr>
          <w:rFonts w:ascii="方正楷体_GBK" w:hAnsi="方正楷体_GBK" w:eastAsia="方正楷体_GBK" w:cs="方正楷体_GBK"/>
          <w:sz w:val="20"/>
          <w:szCs w:val="20"/>
        </w:rPr>
      </w:pPr>
    </w:p>
    <w:p>
      <w:pPr>
        <w:spacing w:line="160" w:lineRule="exact"/>
        <w:rPr>
          <w:rFonts w:ascii="方正楷体_GBK" w:hAnsi="方正楷体_GBK" w:eastAsia="方正楷体_GBK" w:cs="方正楷体_GBK"/>
          <w:sz w:val="20"/>
          <w:szCs w:val="20"/>
        </w:rPr>
      </w:pPr>
    </w:p>
    <w:p>
      <w:pPr>
        <w:widowControl/>
        <w:spacing w:line="400" w:lineRule="exact"/>
        <w:ind w:left="600" w:hanging="600" w:hangingChars="250"/>
        <w:textAlignment w:val="center"/>
        <w:rPr>
          <w:rFonts w:ascii="黑体" w:hAnsi="黑体" w:eastAsia="黑体" w:cs="方正楷体_GBK"/>
          <w:sz w:val="24"/>
        </w:rPr>
      </w:pPr>
      <w:r>
        <w:rPr>
          <w:rFonts w:hint="eastAsia" w:ascii="黑体" w:hAnsi="黑体" w:eastAsia="黑体" w:cs="方正楷体_GBK"/>
          <w:sz w:val="24"/>
        </w:rPr>
        <w:t>说明：</w:t>
      </w:r>
    </w:p>
    <w:p>
      <w:pPr>
        <w:widowControl/>
        <w:spacing w:line="400" w:lineRule="exact"/>
        <w:ind w:left="602" w:hanging="602" w:hangingChars="250"/>
        <w:textAlignment w:val="center"/>
        <w:rPr>
          <w:rFonts w:ascii="宋体" w:hAnsi="宋体" w:eastAsia="宋体" w:cs="方正楷体_GBK"/>
          <w:b/>
          <w:sz w:val="24"/>
        </w:rPr>
      </w:pPr>
      <w:r>
        <w:rPr>
          <w:rFonts w:ascii="宋体" w:hAnsi="宋体" w:eastAsia="宋体" w:cs="方正楷体_GBK"/>
          <w:b/>
          <w:sz w:val="24"/>
        </w:rPr>
        <w:t>1.本标准中“XX以上”包括本数,“XX以下”不包括本数</w:t>
      </w:r>
      <w:r>
        <w:rPr>
          <w:rFonts w:hint="eastAsia" w:ascii="宋体" w:hAnsi="宋体" w:eastAsia="宋体" w:cs="方正楷体_GBK"/>
          <w:b/>
          <w:sz w:val="24"/>
        </w:rPr>
        <w:t>；</w:t>
      </w:r>
    </w:p>
    <w:p>
      <w:pPr>
        <w:widowControl/>
        <w:spacing w:line="400" w:lineRule="exact"/>
        <w:ind w:left="602" w:hanging="602" w:hangingChars="250"/>
        <w:jc w:val="left"/>
        <w:textAlignment w:val="center"/>
        <w:rPr>
          <w:rFonts w:ascii="宋体" w:hAnsi="宋体" w:eastAsia="宋体" w:cs="方正楷体_GBK"/>
          <w:b/>
          <w:sz w:val="24"/>
        </w:rPr>
      </w:pPr>
      <w:r>
        <w:rPr>
          <w:rFonts w:ascii="宋体" w:hAnsi="宋体" w:eastAsia="宋体" w:cs="方正楷体_GBK"/>
          <w:b/>
          <w:sz w:val="24"/>
        </w:rPr>
        <w:t>2.</w:t>
      </w:r>
      <w:r>
        <w:rPr>
          <w:rFonts w:hint="eastAsia" w:ascii="宋体" w:hAnsi="宋体" w:eastAsia="宋体" w:cs="方正楷体_GBK"/>
          <w:b/>
          <w:sz w:val="24"/>
        </w:rPr>
        <w:t>本标准仅供安徽省范围内申报建设工程专业技术资格界定项目业绩规模参考使用，</w:t>
      </w:r>
    </w:p>
    <w:p>
      <w:pPr>
        <w:widowControl/>
        <w:spacing w:line="400" w:lineRule="exact"/>
        <w:ind w:left="602" w:hanging="602" w:hangingChars="250"/>
        <w:jc w:val="left"/>
        <w:textAlignment w:val="center"/>
        <w:rPr>
          <w:rFonts w:ascii="宋体" w:hAnsi="宋体" w:eastAsia="宋体" w:cs="方正楷体_GBK"/>
          <w:b/>
          <w:sz w:val="24"/>
        </w:rPr>
      </w:pPr>
      <w:r>
        <w:rPr>
          <w:rFonts w:ascii="宋体" w:hAnsi="宋体" w:eastAsia="宋体" w:cs="方正楷体_GBK"/>
          <w:b/>
          <w:sz w:val="24"/>
        </w:rPr>
        <w:t>未尽事宜以《安徽省建设工程专业技术资格评审标准条件》等有关规定为准。</w:t>
      </w:r>
    </w:p>
    <w:p>
      <w:pPr>
        <w:widowControl/>
        <w:spacing w:line="560" w:lineRule="exact"/>
        <w:ind w:left="602" w:hanging="602" w:hangingChars="250"/>
        <w:textAlignment w:val="center"/>
        <w:rPr>
          <w:rFonts w:ascii="宋体" w:hAnsi="宋体" w:eastAsia="宋体" w:cs="宋体"/>
          <w:b/>
          <w:kern w:val="0"/>
          <w:sz w:val="24"/>
        </w:rPr>
      </w:pPr>
    </w:p>
    <w:sectPr>
      <w:footerReference r:id="rId3" w:type="default"/>
      <w:pgSz w:w="11906" w:h="16838"/>
      <w:pgMar w:top="1440" w:right="1418" w:bottom="1440" w:left="1588" w:header="851" w:footer="851" w:gutter="0"/>
      <w:pgNumType w:fmt="numberInDash"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- 25 -</w:t>
                </w:r>
                <w:r>
                  <w:rPr>
                    <w:rFonts w:ascii="Times New Roman" w:hAnsi="Times New Roman" w:cs="Times New Roman"/>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B323C"/>
    <w:multiLevelType w:val="singleLevel"/>
    <w:tmpl w:val="3DDB323C"/>
    <w:lvl w:ilvl="0" w:tentative="0">
      <w:start w:val="5"/>
      <w:numFmt w:val="decimal"/>
      <w:suff w:val="nothing"/>
      <w:lvlText w:val="（%1）"/>
      <w:lvlJc w:val="left"/>
    </w:lvl>
  </w:abstractNum>
  <w:abstractNum w:abstractNumId="1">
    <w:nsid w:val="7588AD4B"/>
    <w:multiLevelType w:val="singleLevel"/>
    <w:tmpl w:val="7588AD4B"/>
    <w:lvl w:ilvl="0" w:tentative="0">
      <w:start w:val="1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05153BD"/>
    <w:rsid w:val="00027B10"/>
    <w:rsid w:val="000300E3"/>
    <w:rsid w:val="000447AD"/>
    <w:rsid w:val="000B016A"/>
    <w:rsid w:val="000B0DEA"/>
    <w:rsid w:val="000E2D00"/>
    <w:rsid w:val="00106631"/>
    <w:rsid w:val="0011248E"/>
    <w:rsid w:val="00126AD3"/>
    <w:rsid w:val="00142677"/>
    <w:rsid w:val="0015401B"/>
    <w:rsid w:val="001668C8"/>
    <w:rsid w:val="00170098"/>
    <w:rsid w:val="001D11DA"/>
    <w:rsid w:val="001D5E1A"/>
    <w:rsid w:val="001F1620"/>
    <w:rsid w:val="001F41F6"/>
    <w:rsid w:val="001F4D39"/>
    <w:rsid w:val="00211A4C"/>
    <w:rsid w:val="00213987"/>
    <w:rsid w:val="00246D99"/>
    <w:rsid w:val="00250110"/>
    <w:rsid w:val="00277BE0"/>
    <w:rsid w:val="00286A73"/>
    <w:rsid w:val="00294F9D"/>
    <w:rsid w:val="002C011F"/>
    <w:rsid w:val="00313A72"/>
    <w:rsid w:val="003457D7"/>
    <w:rsid w:val="00355140"/>
    <w:rsid w:val="00380076"/>
    <w:rsid w:val="00381928"/>
    <w:rsid w:val="003849A9"/>
    <w:rsid w:val="003953F9"/>
    <w:rsid w:val="003B7D29"/>
    <w:rsid w:val="003D0BDB"/>
    <w:rsid w:val="003F2131"/>
    <w:rsid w:val="003F6842"/>
    <w:rsid w:val="00401530"/>
    <w:rsid w:val="00410BF9"/>
    <w:rsid w:val="00421ACE"/>
    <w:rsid w:val="00456ADF"/>
    <w:rsid w:val="004C351B"/>
    <w:rsid w:val="004C4A40"/>
    <w:rsid w:val="004C5D0F"/>
    <w:rsid w:val="00503604"/>
    <w:rsid w:val="00525C40"/>
    <w:rsid w:val="00527F4A"/>
    <w:rsid w:val="00590324"/>
    <w:rsid w:val="00591D60"/>
    <w:rsid w:val="005B2926"/>
    <w:rsid w:val="005E48D7"/>
    <w:rsid w:val="00623CAD"/>
    <w:rsid w:val="00627151"/>
    <w:rsid w:val="006545C3"/>
    <w:rsid w:val="00695AF7"/>
    <w:rsid w:val="006E2EE5"/>
    <w:rsid w:val="006F11AC"/>
    <w:rsid w:val="006F5DE3"/>
    <w:rsid w:val="007403BA"/>
    <w:rsid w:val="007409DE"/>
    <w:rsid w:val="007679CB"/>
    <w:rsid w:val="00801788"/>
    <w:rsid w:val="00823144"/>
    <w:rsid w:val="00830567"/>
    <w:rsid w:val="00844D0B"/>
    <w:rsid w:val="008837C8"/>
    <w:rsid w:val="008946A8"/>
    <w:rsid w:val="008E0753"/>
    <w:rsid w:val="008F49E5"/>
    <w:rsid w:val="008F6265"/>
    <w:rsid w:val="00934CF6"/>
    <w:rsid w:val="00935865"/>
    <w:rsid w:val="00951C81"/>
    <w:rsid w:val="00967F92"/>
    <w:rsid w:val="00974EA6"/>
    <w:rsid w:val="00982246"/>
    <w:rsid w:val="009B7E75"/>
    <w:rsid w:val="00A029CD"/>
    <w:rsid w:val="00A35B59"/>
    <w:rsid w:val="00A4652A"/>
    <w:rsid w:val="00A62148"/>
    <w:rsid w:val="00A86EBB"/>
    <w:rsid w:val="00AA45A2"/>
    <w:rsid w:val="00AD14C2"/>
    <w:rsid w:val="00AF31E2"/>
    <w:rsid w:val="00AF3F6F"/>
    <w:rsid w:val="00B00248"/>
    <w:rsid w:val="00B061C5"/>
    <w:rsid w:val="00B60D05"/>
    <w:rsid w:val="00B728C7"/>
    <w:rsid w:val="00B76C2D"/>
    <w:rsid w:val="00B82AC7"/>
    <w:rsid w:val="00B84721"/>
    <w:rsid w:val="00B86605"/>
    <w:rsid w:val="00B94C63"/>
    <w:rsid w:val="00B95111"/>
    <w:rsid w:val="00BD49EF"/>
    <w:rsid w:val="00BD5009"/>
    <w:rsid w:val="00BE612A"/>
    <w:rsid w:val="00BF66E0"/>
    <w:rsid w:val="00BF700D"/>
    <w:rsid w:val="00C113EF"/>
    <w:rsid w:val="00C158EF"/>
    <w:rsid w:val="00C32B22"/>
    <w:rsid w:val="00C46F1F"/>
    <w:rsid w:val="00C74CA4"/>
    <w:rsid w:val="00C759BF"/>
    <w:rsid w:val="00C80BD5"/>
    <w:rsid w:val="00C93E87"/>
    <w:rsid w:val="00CA63E0"/>
    <w:rsid w:val="00CE3AE6"/>
    <w:rsid w:val="00CF7D14"/>
    <w:rsid w:val="00D0091E"/>
    <w:rsid w:val="00D074FC"/>
    <w:rsid w:val="00D27C57"/>
    <w:rsid w:val="00D32916"/>
    <w:rsid w:val="00D3758C"/>
    <w:rsid w:val="00D848CD"/>
    <w:rsid w:val="00D86DF0"/>
    <w:rsid w:val="00D86FBD"/>
    <w:rsid w:val="00DA5915"/>
    <w:rsid w:val="00DB2E8B"/>
    <w:rsid w:val="00DC1D2B"/>
    <w:rsid w:val="00DE72F1"/>
    <w:rsid w:val="00E12A05"/>
    <w:rsid w:val="00E20079"/>
    <w:rsid w:val="00E57BE6"/>
    <w:rsid w:val="00E979E4"/>
    <w:rsid w:val="00EC0387"/>
    <w:rsid w:val="00F21DA3"/>
    <w:rsid w:val="00F676E3"/>
    <w:rsid w:val="00FA79E4"/>
    <w:rsid w:val="00FB6EFA"/>
    <w:rsid w:val="02060D26"/>
    <w:rsid w:val="034716A4"/>
    <w:rsid w:val="03C63099"/>
    <w:rsid w:val="04414D10"/>
    <w:rsid w:val="044D4202"/>
    <w:rsid w:val="05C65FF5"/>
    <w:rsid w:val="05F40E72"/>
    <w:rsid w:val="06E73FCF"/>
    <w:rsid w:val="07D87FD4"/>
    <w:rsid w:val="099941BF"/>
    <w:rsid w:val="0B6656FE"/>
    <w:rsid w:val="0C116B01"/>
    <w:rsid w:val="0EF5246A"/>
    <w:rsid w:val="0FFF305D"/>
    <w:rsid w:val="101A20DA"/>
    <w:rsid w:val="1125528E"/>
    <w:rsid w:val="142F7849"/>
    <w:rsid w:val="144970BB"/>
    <w:rsid w:val="145A1FE5"/>
    <w:rsid w:val="164F2B33"/>
    <w:rsid w:val="16A17378"/>
    <w:rsid w:val="173102A3"/>
    <w:rsid w:val="177959E6"/>
    <w:rsid w:val="1906596F"/>
    <w:rsid w:val="1C9934AC"/>
    <w:rsid w:val="1CD030B4"/>
    <w:rsid w:val="1CE24B3D"/>
    <w:rsid w:val="1EF160BB"/>
    <w:rsid w:val="1F275E4C"/>
    <w:rsid w:val="204271ED"/>
    <w:rsid w:val="205153BD"/>
    <w:rsid w:val="20966BC0"/>
    <w:rsid w:val="20D146F8"/>
    <w:rsid w:val="20DD0404"/>
    <w:rsid w:val="218A479E"/>
    <w:rsid w:val="2343171A"/>
    <w:rsid w:val="236C6089"/>
    <w:rsid w:val="23D6585A"/>
    <w:rsid w:val="26C432AE"/>
    <w:rsid w:val="274F70B9"/>
    <w:rsid w:val="27550742"/>
    <w:rsid w:val="27C272CC"/>
    <w:rsid w:val="27D42B9D"/>
    <w:rsid w:val="28EC20C3"/>
    <w:rsid w:val="296026BE"/>
    <w:rsid w:val="2BED071A"/>
    <w:rsid w:val="2BF40E87"/>
    <w:rsid w:val="2C996E1D"/>
    <w:rsid w:val="2CA12FB7"/>
    <w:rsid w:val="2CB01430"/>
    <w:rsid w:val="2CB13ACB"/>
    <w:rsid w:val="2E056A06"/>
    <w:rsid w:val="2ED55546"/>
    <w:rsid w:val="32614B47"/>
    <w:rsid w:val="32CC07EF"/>
    <w:rsid w:val="334614D2"/>
    <w:rsid w:val="33987FBA"/>
    <w:rsid w:val="33F26FC4"/>
    <w:rsid w:val="34024943"/>
    <w:rsid w:val="35973B2B"/>
    <w:rsid w:val="35F87A38"/>
    <w:rsid w:val="370A25E8"/>
    <w:rsid w:val="37633A06"/>
    <w:rsid w:val="39067AAE"/>
    <w:rsid w:val="39610251"/>
    <w:rsid w:val="3A3706BA"/>
    <w:rsid w:val="3AB36FC3"/>
    <w:rsid w:val="3C002B46"/>
    <w:rsid w:val="3CE772A5"/>
    <w:rsid w:val="3EB24784"/>
    <w:rsid w:val="406E4C01"/>
    <w:rsid w:val="42C47F51"/>
    <w:rsid w:val="43270DE4"/>
    <w:rsid w:val="447E32BC"/>
    <w:rsid w:val="451C4C35"/>
    <w:rsid w:val="46C7726A"/>
    <w:rsid w:val="490605D1"/>
    <w:rsid w:val="49B52C28"/>
    <w:rsid w:val="4A397982"/>
    <w:rsid w:val="4B3926C8"/>
    <w:rsid w:val="4C2E1C4F"/>
    <w:rsid w:val="4C4F7AB8"/>
    <w:rsid w:val="4C5E5C84"/>
    <w:rsid w:val="4C6A6689"/>
    <w:rsid w:val="4F9F1B0F"/>
    <w:rsid w:val="52E52F81"/>
    <w:rsid w:val="53295050"/>
    <w:rsid w:val="53C25F37"/>
    <w:rsid w:val="53C870D5"/>
    <w:rsid w:val="549955D6"/>
    <w:rsid w:val="585B7733"/>
    <w:rsid w:val="58851DEC"/>
    <w:rsid w:val="58F94B33"/>
    <w:rsid w:val="591C64A5"/>
    <w:rsid w:val="59515DAF"/>
    <w:rsid w:val="5CC23B03"/>
    <w:rsid w:val="5CE93F39"/>
    <w:rsid w:val="5D450914"/>
    <w:rsid w:val="5DD94887"/>
    <w:rsid w:val="5DEA57DC"/>
    <w:rsid w:val="5E2C2A53"/>
    <w:rsid w:val="5E3762D6"/>
    <w:rsid w:val="5EB44E52"/>
    <w:rsid w:val="5EE957FF"/>
    <w:rsid w:val="5F177017"/>
    <w:rsid w:val="5F525AB3"/>
    <w:rsid w:val="5F580832"/>
    <w:rsid w:val="605A31A9"/>
    <w:rsid w:val="62C9495B"/>
    <w:rsid w:val="630419B6"/>
    <w:rsid w:val="63D95ED3"/>
    <w:rsid w:val="64046FA9"/>
    <w:rsid w:val="656F47C7"/>
    <w:rsid w:val="669B4673"/>
    <w:rsid w:val="66E21AA3"/>
    <w:rsid w:val="6AEF3065"/>
    <w:rsid w:val="6B7A0676"/>
    <w:rsid w:val="6E533898"/>
    <w:rsid w:val="70325065"/>
    <w:rsid w:val="70403843"/>
    <w:rsid w:val="71726355"/>
    <w:rsid w:val="721028E9"/>
    <w:rsid w:val="72505010"/>
    <w:rsid w:val="726C6971"/>
    <w:rsid w:val="732721AB"/>
    <w:rsid w:val="75CA595A"/>
    <w:rsid w:val="7619716F"/>
    <w:rsid w:val="768F347A"/>
    <w:rsid w:val="773379F4"/>
    <w:rsid w:val="77935EAB"/>
    <w:rsid w:val="77C86C27"/>
    <w:rsid w:val="784F4DBC"/>
    <w:rsid w:val="78A97D8D"/>
    <w:rsid w:val="78E41140"/>
    <w:rsid w:val="7B8152DB"/>
    <w:rsid w:val="7CBF02FF"/>
    <w:rsid w:val="7CF00B91"/>
    <w:rsid w:val="7CF5253A"/>
    <w:rsid w:val="7D9B5286"/>
    <w:rsid w:val="7F2D625E"/>
    <w:rsid w:val="7F5C11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2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character" w:styleId="9">
    <w:name w:val="annotation reference"/>
    <w:basedOn w:val="8"/>
    <w:qFormat/>
    <w:uiPriority w:val="0"/>
    <w:rPr>
      <w:sz w:val="21"/>
      <w:szCs w:val="21"/>
    </w:rPr>
  </w:style>
  <w:style w:type="character" w:customStyle="1" w:styleId="10">
    <w:name w:val="font81"/>
    <w:basedOn w:val="8"/>
    <w:qFormat/>
    <w:uiPriority w:val="0"/>
    <w:rPr>
      <w:rFonts w:hint="eastAsia" w:ascii="宋体" w:hAnsi="宋体" w:eastAsia="宋体" w:cs="宋体"/>
      <w:color w:val="000000"/>
      <w:sz w:val="20"/>
      <w:szCs w:val="20"/>
      <w:u w:val="none"/>
    </w:rPr>
  </w:style>
  <w:style w:type="character" w:customStyle="1" w:styleId="11">
    <w:name w:val="font91"/>
    <w:basedOn w:val="8"/>
    <w:qFormat/>
    <w:uiPriority w:val="0"/>
    <w:rPr>
      <w:rFonts w:hint="eastAsia" w:ascii="宋体" w:hAnsi="宋体" w:eastAsia="宋体" w:cs="宋体"/>
      <w:color w:val="000000"/>
      <w:sz w:val="20"/>
      <w:szCs w:val="20"/>
      <w:u w:val="none"/>
      <w:vertAlign w:val="superscript"/>
    </w:rPr>
  </w:style>
  <w:style w:type="character" w:customStyle="1" w:styleId="12">
    <w:name w:val="font51"/>
    <w:basedOn w:val="8"/>
    <w:qFormat/>
    <w:uiPriority w:val="0"/>
    <w:rPr>
      <w:rFonts w:hint="eastAsia" w:ascii="宋体" w:hAnsi="宋体" w:eastAsia="宋体" w:cs="宋体"/>
      <w:color w:val="000000"/>
      <w:sz w:val="20"/>
      <w:szCs w:val="20"/>
      <w:u w:val="none"/>
    </w:rPr>
  </w:style>
  <w:style w:type="character" w:customStyle="1" w:styleId="13">
    <w:name w:val="font101"/>
    <w:basedOn w:val="8"/>
    <w:qFormat/>
    <w:uiPriority w:val="0"/>
    <w:rPr>
      <w:rFonts w:hint="eastAsia" w:ascii="宋体" w:hAnsi="宋体" w:eastAsia="宋体" w:cs="宋体"/>
      <w:color w:val="FF0000"/>
      <w:sz w:val="20"/>
      <w:szCs w:val="20"/>
      <w:u w:val="none"/>
    </w:rPr>
  </w:style>
  <w:style w:type="character" w:customStyle="1" w:styleId="14">
    <w:name w:val="font111"/>
    <w:basedOn w:val="8"/>
    <w:qFormat/>
    <w:uiPriority w:val="0"/>
    <w:rPr>
      <w:rFonts w:hint="eastAsia" w:ascii="宋体" w:hAnsi="宋体" w:eastAsia="宋体" w:cs="宋体"/>
      <w:color w:val="000000"/>
      <w:sz w:val="20"/>
      <w:szCs w:val="20"/>
      <w:u w:val="none"/>
      <w:vertAlign w:val="superscript"/>
    </w:rPr>
  </w:style>
  <w:style w:type="character" w:customStyle="1" w:styleId="15">
    <w:name w:val="font121"/>
    <w:basedOn w:val="8"/>
    <w:qFormat/>
    <w:uiPriority w:val="0"/>
    <w:rPr>
      <w:rFonts w:hint="default" w:ascii="Times New Roman" w:hAnsi="Times New Roman" w:cs="Times New Roman"/>
      <w:color w:val="000000"/>
      <w:sz w:val="20"/>
      <w:szCs w:val="20"/>
      <w:u w:val="none"/>
    </w:rPr>
  </w:style>
  <w:style w:type="character" w:customStyle="1" w:styleId="16">
    <w:name w:val="font131"/>
    <w:basedOn w:val="8"/>
    <w:qFormat/>
    <w:uiPriority w:val="0"/>
    <w:rPr>
      <w:rFonts w:hint="eastAsia" w:ascii="宋体" w:hAnsi="宋体" w:eastAsia="宋体" w:cs="宋体"/>
      <w:color w:val="000000"/>
      <w:sz w:val="20"/>
      <w:szCs w:val="20"/>
      <w:u w:val="none"/>
    </w:rPr>
  </w:style>
  <w:style w:type="character" w:customStyle="1" w:styleId="17">
    <w:name w:val="font141"/>
    <w:basedOn w:val="8"/>
    <w:qFormat/>
    <w:uiPriority w:val="0"/>
    <w:rPr>
      <w:rFonts w:hint="eastAsia" w:ascii="宋体" w:hAnsi="宋体" w:eastAsia="宋体" w:cs="宋体"/>
      <w:color w:val="000000"/>
      <w:sz w:val="20"/>
      <w:szCs w:val="20"/>
      <w:u w:val="none"/>
      <w:vertAlign w:val="superscript"/>
    </w:rPr>
  </w:style>
  <w:style w:type="character" w:customStyle="1" w:styleId="18">
    <w:name w:val="font151"/>
    <w:basedOn w:val="8"/>
    <w:qFormat/>
    <w:uiPriority w:val="0"/>
    <w:rPr>
      <w:rFonts w:hint="eastAsia" w:ascii="宋体" w:hAnsi="宋体" w:eastAsia="宋体" w:cs="宋体"/>
      <w:color w:val="000000"/>
      <w:sz w:val="22"/>
      <w:szCs w:val="22"/>
      <w:u w:val="none"/>
      <w:vertAlign w:val="superscript"/>
    </w:rPr>
  </w:style>
  <w:style w:type="character" w:customStyle="1" w:styleId="19">
    <w:name w:val="font41"/>
    <w:basedOn w:val="8"/>
    <w:qFormat/>
    <w:uiPriority w:val="0"/>
    <w:rPr>
      <w:rFonts w:hint="eastAsia" w:ascii="宋体" w:hAnsi="宋体" w:eastAsia="宋体" w:cs="宋体"/>
      <w:color w:val="000000"/>
      <w:sz w:val="24"/>
      <w:szCs w:val="24"/>
      <w:u w:val="none"/>
    </w:rPr>
  </w:style>
  <w:style w:type="character" w:customStyle="1" w:styleId="20">
    <w:name w:val="font11"/>
    <w:basedOn w:val="8"/>
    <w:qFormat/>
    <w:uiPriority w:val="0"/>
    <w:rPr>
      <w:rFonts w:hint="eastAsia" w:ascii="宋体" w:hAnsi="宋体" w:eastAsia="宋体" w:cs="宋体"/>
      <w:color w:val="000000"/>
      <w:sz w:val="24"/>
      <w:szCs w:val="24"/>
      <w:u w:val="none"/>
      <w:vertAlign w:val="superscript"/>
    </w:rPr>
  </w:style>
  <w:style w:type="character" w:customStyle="1" w:styleId="21">
    <w:name w:val="font21"/>
    <w:basedOn w:val="8"/>
    <w:qFormat/>
    <w:uiPriority w:val="0"/>
    <w:rPr>
      <w:rFonts w:hint="eastAsia" w:ascii="宋体" w:hAnsi="宋体" w:eastAsia="宋体" w:cs="宋体"/>
      <w:b/>
      <w:color w:val="000000"/>
      <w:sz w:val="22"/>
      <w:szCs w:val="22"/>
      <w:u w:val="none"/>
    </w:rPr>
  </w:style>
  <w:style w:type="character" w:customStyle="1" w:styleId="22">
    <w:name w:val="font01"/>
    <w:basedOn w:val="8"/>
    <w:qFormat/>
    <w:uiPriority w:val="0"/>
    <w:rPr>
      <w:rFonts w:hint="default" w:ascii="Times New Roman" w:hAnsi="Times New Roman" w:cs="Times New Roman"/>
      <w:color w:val="000000"/>
      <w:sz w:val="21"/>
      <w:szCs w:val="21"/>
      <w:u w:val="none"/>
    </w:rPr>
  </w:style>
  <w:style w:type="character" w:customStyle="1" w:styleId="23">
    <w:name w:val="font61"/>
    <w:basedOn w:val="8"/>
    <w:qFormat/>
    <w:uiPriority w:val="0"/>
    <w:rPr>
      <w:rFonts w:hint="default" w:ascii="Times New Roman" w:hAnsi="Times New Roman" w:cs="Times New Roman"/>
      <w:color w:val="000000"/>
      <w:sz w:val="21"/>
      <w:szCs w:val="21"/>
      <w:u w:val="none"/>
    </w:rPr>
  </w:style>
  <w:style w:type="character" w:customStyle="1" w:styleId="24">
    <w:name w:val="font71"/>
    <w:basedOn w:val="8"/>
    <w:qFormat/>
    <w:uiPriority w:val="0"/>
    <w:rPr>
      <w:rFonts w:hint="eastAsia" w:ascii="宋体" w:hAnsi="宋体" w:eastAsia="宋体" w:cs="宋体"/>
      <w:color w:val="000000"/>
      <w:sz w:val="21"/>
      <w:szCs w:val="21"/>
      <w:u w:val="none"/>
    </w:rPr>
  </w:style>
  <w:style w:type="character" w:customStyle="1" w:styleId="25">
    <w:name w:val="font31"/>
    <w:basedOn w:val="8"/>
    <w:qFormat/>
    <w:uiPriority w:val="0"/>
    <w:rPr>
      <w:rFonts w:hint="eastAsia" w:ascii="宋体" w:hAnsi="宋体" w:eastAsia="宋体" w:cs="宋体"/>
      <w:color w:val="000000"/>
      <w:sz w:val="32"/>
      <w:szCs w:val="32"/>
      <w:u w:val="none"/>
      <w:vertAlign w:val="superscript"/>
    </w:rPr>
  </w:style>
  <w:style w:type="character" w:customStyle="1" w:styleId="26">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279D9-2D95-4EBB-B65C-BB9D7E9966C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2640</Words>
  <Characters>15053</Characters>
  <Lines>125</Lines>
  <Paragraphs>35</Paragraphs>
  <TotalTime>0</TotalTime>
  <ScaleCrop>false</ScaleCrop>
  <LinksUpToDate>false</LinksUpToDate>
  <CharactersWithSpaces>17658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2021-03-31T02:27:00Z</dcterms:created>
  <dc:creator>Administrator</dc:creator>
  <cp:lastModifiedBy>水煮呆呆鱼</cp:lastModifiedBy>
  <cp:lastPrinted>2021-03-17T01:26:00Z</cp:lastPrinted>
  <dcterms:modified xsi:type="dcterms:W3CDTF">2023-08-31T09:21:14Z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9D6EFDF639EB4E72AEF0EF090264ADA8</vt:lpwstr>
  </property>
</Properties>
</file>