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附件3</w:t>
      </w:r>
    </w:p>
    <w:p>
      <w:pPr>
        <w:spacing w:line="59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淮北市域外优质工程规模标准</w:t>
      </w:r>
    </w:p>
    <w:p>
      <w:pPr>
        <w:spacing w:line="590" w:lineRule="exact"/>
        <w:ind w:firstLine="640" w:firstLineChars="200"/>
        <w:rPr>
          <w:sz w:val="32"/>
        </w:rPr>
      </w:pPr>
    </w:p>
    <w:p>
      <w:pPr>
        <w:spacing w:line="59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hint="eastAsia" w:eastAsia="黑体"/>
          <w:sz w:val="32"/>
          <w:szCs w:val="32"/>
        </w:rPr>
        <w:t>房屋建筑</w:t>
      </w:r>
      <w:r>
        <w:rPr>
          <w:rFonts w:eastAsia="黑体"/>
          <w:sz w:val="32"/>
          <w:szCs w:val="32"/>
        </w:rPr>
        <w:t>工程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（一）建筑面积为2万平方米以上的住宅小区或组团（按规定要求完成绿化及道路、公建配套设施建设及综合验收）；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（二）建筑面积为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000平方米以上（含）的单体住宅工程。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三</w:t>
      </w:r>
      <w:r>
        <w:rPr>
          <w:rFonts w:eastAsia="仿宋_GB2312"/>
          <w:sz w:val="32"/>
          <w:szCs w:val="32"/>
        </w:rPr>
        <w:t>）建筑面积为5000平方米以上的办公楼、综合楼、工业厂房等公共建筑，总建筑面积</w:t>
      </w:r>
      <w:r>
        <w:rPr>
          <w:rFonts w:hint="eastAsia" w:eastAsia="仿宋_GB2312"/>
          <w:sz w:val="32"/>
          <w:szCs w:val="32"/>
        </w:rPr>
        <w:t>10000</w:t>
      </w:r>
      <w:r>
        <w:rPr>
          <w:rFonts w:eastAsia="仿宋_GB2312"/>
          <w:sz w:val="32"/>
          <w:szCs w:val="32"/>
        </w:rPr>
        <w:t>平方米以上的群体公共建筑等项目（实施绿色建筑星级、装配式建筑的工程，建筑面积可调低到</w:t>
      </w:r>
      <w:r>
        <w:rPr>
          <w:rFonts w:hint="eastAsia" w:eastAsia="仿宋_GB2312"/>
          <w:sz w:val="32"/>
          <w:szCs w:val="32"/>
        </w:rPr>
        <w:t>80%</w:t>
      </w:r>
      <w:r>
        <w:rPr>
          <w:rFonts w:eastAsia="仿宋_GB2312"/>
          <w:sz w:val="32"/>
          <w:szCs w:val="32"/>
        </w:rPr>
        <w:t>）；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（四）合同额1000万元</w:t>
      </w:r>
      <w:r>
        <w:rPr>
          <w:rFonts w:eastAsia="仿宋_GB2312"/>
          <w:sz w:val="32"/>
          <w:szCs w:val="32"/>
        </w:rPr>
        <w:t>以上的园林古建筑工程；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五</w:t>
      </w:r>
      <w:r>
        <w:rPr>
          <w:rFonts w:eastAsia="仿宋_GB2312"/>
          <w:sz w:val="32"/>
          <w:szCs w:val="32"/>
        </w:rPr>
        <w:t>）未列出具体规模标准但造价在1000万元以上的工程。</w:t>
      </w:r>
    </w:p>
    <w:p>
      <w:pPr>
        <w:spacing w:line="59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</w:t>
      </w:r>
      <w:r>
        <w:rPr>
          <w:rFonts w:eastAsia="黑体"/>
          <w:sz w:val="32"/>
          <w:szCs w:val="32"/>
        </w:rPr>
        <w:t>、市政、园林工程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（一）合同额1000万</w:t>
      </w:r>
      <w:r>
        <w:rPr>
          <w:rFonts w:eastAsia="仿宋_GB2312"/>
          <w:sz w:val="32"/>
          <w:szCs w:val="32"/>
        </w:rPr>
        <w:t>元以上的城市道路、广场、桥梁等工程；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（二）占地15000平方米以上的绿化工程；其它具有创新示范和指导作用的园林绿化精品工程</w:t>
      </w:r>
      <w:r>
        <w:rPr>
          <w:rFonts w:hint="eastAsia" w:eastAsia="仿宋_GB2312"/>
          <w:sz w:val="32"/>
          <w:szCs w:val="32"/>
        </w:rPr>
        <w:t>，达到国家规定的大中型项目标准的建设工程；</w:t>
      </w:r>
    </w:p>
    <w:p>
      <w:pPr>
        <w:spacing w:line="590" w:lineRule="exact"/>
        <w:ind w:firstLine="640" w:firstLineChars="200"/>
        <w:rPr>
          <w:rFonts w:eastAsia="仿宋_GB2312" w:cs="仿宋_GB2312"/>
          <w:b/>
          <w:bCs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（三）合同额2000</w:t>
      </w:r>
      <w:r>
        <w:rPr>
          <w:rFonts w:eastAsia="仿宋_GB2312"/>
          <w:sz w:val="32"/>
          <w:szCs w:val="32"/>
        </w:rPr>
        <w:t>万元以上的城市环境综合治理工程</w:t>
      </w:r>
      <w:r>
        <w:rPr>
          <w:rFonts w:hint="eastAsia" w:eastAsia="仿宋_GB2312"/>
          <w:sz w:val="32"/>
          <w:szCs w:val="32"/>
        </w:rPr>
        <w:t>（含供水厂、污水厂、生态修复项目等）；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（四）未列出具体规模标准但造价在2000万元以上的其他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市政基础设施、园林公园</w:t>
      </w:r>
      <w:r>
        <w:rPr>
          <w:rFonts w:eastAsia="仿宋_GB2312"/>
          <w:sz w:val="32"/>
          <w:szCs w:val="32"/>
        </w:rPr>
        <w:t>工程。</w:t>
      </w:r>
    </w:p>
    <w:p>
      <w:pPr>
        <w:spacing w:line="59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、工业、交通、水利、通信、电力等</w:t>
      </w:r>
      <w:r>
        <w:rPr>
          <w:rFonts w:hint="eastAsia" w:eastAsia="黑体"/>
          <w:sz w:val="32"/>
          <w:szCs w:val="32"/>
        </w:rPr>
        <w:t>行业</w:t>
      </w:r>
      <w:r>
        <w:rPr>
          <w:rFonts w:eastAsia="黑体"/>
          <w:sz w:val="32"/>
          <w:szCs w:val="32"/>
        </w:rPr>
        <w:t>工程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合同</w:t>
      </w:r>
      <w:r>
        <w:rPr>
          <w:rFonts w:eastAsia="仿宋_GB2312"/>
          <w:sz w:val="32"/>
          <w:szCs w:val="32"/>
        </w:rPr>
        <w:t>额2000万元以</w:t>
      </w:r>
      <w:r>
        <w:rPr>
          <w:rFonts w:hint="eastAsia" w:eastAsia="仿宋_GB2312"/>
          <w:sz w:val="32"/>
          <w:szCs w:val="32"/>
        </w:rPr>
        <w:t>上</w:t>
      </w:r>
      <w:r>
        <w:rPr>
          <w:rFonts w:eastAsia="仿宋_GB2312"/>
          <w:sz w:val="32"/>
          <w:szCs w:val="32"/>
        </w:rPr>
        <w:t>的工业、交通、水利、通信、电力建设项目。其中，主承建单位合同承包额不少于1500万元；参加建筑工程评选的项目必须含有相应的设备安装工程；参加工业设备安装工程评选的项目必须含相应的建筑工程。</w:t>
      </w:r>
    </w:p>
    <w:p>
      <w:pPr>
        <w:spacing w:line="59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四、城市更新工程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合同额2000万元以上的城市更新项目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（一）既有建筑改造提升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主要针对既有建筑（组群）进行空间改造、修护修缮和性能提升等，包括老旧住宅改善提升、老旧厂房（含工业遗产)改造利用、商贸办公楼宇改造、历史建筑保护修缮等。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（二）片区综合更新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主要指在一定空间范围内综合考虑地区需求、推动功能集成改善、整体推进片区更新的项目，包括居住类地段更新、历史类地段更新、市政基础设施更新、低效产业用地更新、园林绿地及公共空间更新等。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黑体"/>
          <w:sz w:val="32"/>
          <w:szCs w:val="32"/>
        </w:rPr>
        <w:t>五</w:t>
      </w:r>
      <w:r>
        <w:rPr>
          <w:rFonts w:eastAsia="黑体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其它社会影响较大的纪念性工程，未具体列出规模标准的工程，其工程造价在1000万元以上。</w:t>
      </w:r>
    </w:p>
    <w:p/>
    <w:sectPr>
      <w:footerReference r:id="rId3" w:type="default"/>
      <w:pgSz w:w="11906" w:h="16838"/>
      <w:pgMar w:top="1984" w:right="1361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D0D9D"/>
    <w:rsid w:val="51F7ED25"/>
    <w:rsid w:val="DBBFB879"/>
    <w:rsid w:val="EFFD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公文正文"/>
    <w:basedOn w:val="1"/>
    <w:qFormat/>
    <w:uiPriority w:val="0"/>
    <w:pPr>
      <w:keepNext/>
      <w:keepLines/>
      <w:snapToGrid w:val="0"/>
      <w:spacing w:line="560" w:lineRule="exact"/>
      <w:jc w:val="both"/>
      <w:textAlignment w:val="baseline"/>
    </w:pPr>
    <w:rPr>
      <w:rFonts w:hint="default"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2026-04-02T09:02:00Z</dcterms:created>
  <dc:creator>乐尽天真</dc:creator>
  <cp:lastModifiedBy>乐尽天真</cp:lastModifiedBy>
  <dcterms:modified xsi:type="dcterms:W3CDTF">2026-04-02T09:06:30Z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