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1563" w:lineRule="exact"/>
        <w:ind w:left="755" w:right="-20"/>
        <w:jc w:val="left"/>
        <w:rPr>
          <w:rFonts w:ascii="微软雅黑" w:hAnsi="微软雅黑" w:cs="微软雅黑" w:eastAsia="微软雅黑"/>
          <w:sz w:val="150"/>
          <w:szCs w:val="150"/>
        </w:rPr>
      </w:pPr>
      <w:r>
        <w:rPr>
          <w:rFonts w:ascii="微软雅黑" w:hAnsi="微软雅黑" w:cs="微软雅黑" w:eastAsia="微软雅黑"/>
          <w:color w:val="FF0000"/>
          <w:spacing w:val="-57"/>
          <w:w w:val="59"/>
          <w:position w:val="0"/>
          <w:sz w:val="150"/>
          <w:szCs w:val="150"/>
        </w:rPr>
        <w:t>中共淮北市委办公</w:t>
      </w:r>
      <w:r>
        <w:rPr>
          <w:rFonts w:ascii="微软雅黑" w:hAnsi="微软雅黑" w:cs="微软雅黑" w:eastAsia="微软雅黑"/>
          <w:color w:val="FF0000"/>
          <w:spacing w:val="0"/>
          <w:w w:val="59"/>
          <w:position w:val="0"/>
          <w:sz w:val="150"/>
          <w:szCs w:val="150"/>
        </w:rPr>
        <w:t>室</w:t>
      </w:r>
      <w:r>
        <w:rPr>
          <w:rFonts w:ascii="微软雅黑" w:hAnsi="微软雅黑" w:cs="微软雅黑" w:eastAsia="微软雅黑"/>
          <w:color w:val="000000"/>
          <w:spacing w:val="0"/>
          <w:w w:val="100"/>
          <w:position w:val="0"/>
          <w:sz w:val="150"/>
          <w:szCs w:val="15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403" w:lineRule="exact"/>
        <w:ind w:left="3423" w:right="3408"/>
        <w:jc w:val="center"/>
        <w:rPr>
          <w:rFonts w:ascii="微软雅黑" w:hAnsi="微软雅黑" w:cs="微软雅黑" w:eastAsia="微软雅黑"/>
          <w:sz w:val="32"/>
          <w:szCs w:val="32"/>
        </w:rPr>
      </w:pPr>
      <w:r>
        <w:rPr/>
        <w:pict>
          <v:group style="position:absolute;margin-left:75.130081pt;margin-top:29.606602pt;width:442.13933pt;height:.1pt;mso-position-horizontal-relative:page;mso-position-vertical-relative:paragraph;z-index:-169" coordorigin="1503,592" coordsize="8843,2">
            <v:shape style="position:absolute;left:1503;top:592;width:8843;height:2" coordorigin="1503,592" coordsize="8843,0" path="m1503,592l10345,592e" filled="f" stroked="t" strokeweight="2.400320pt" strokecolor="#FF0000">
              <v:path arrowok="t"/>
            </v:shape>
            <w10:wrap type="none"/>
          </v:group>
        </w:pic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〔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7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〕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号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40" w:lineRule="auto"/>
        <w:ind w:left="1642" w:right="1637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中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共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淮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北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市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委</w:t>
      </w:r>
      <w:r>
        <w:rPr>
          <w:rFonts w:ascii="方正小标宋简体" w:hAnsi="方正小标宋简体" w:cs="方正小标宋简体" w:eastAsia="方正小标宋简体"/>
          <w:spacing w:val="-10"/>
          <w:w w:val="100"/>
          <w:sz w:val="44"/>
          <w:szCs w:val="44"/>
        </w:rPr>
        <w:t>办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公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室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关</w:t>
      </w:r>
      <w:r>
        <w:rPr>
          <w:rFonts w:ascii="方正小标宋简体" w:hAnsi="方正小标宋简体" w:cs="方正小标宋简体" w:eastAsia="方正小标宋简体"/>
          <w:spacing w:val="-10"/>
          <w:w w:val="100"/>
          <w:sz w:val="44"/>
          <w:szCs w:val="44"/>
        </w:rPr>
        <w:t>于</w:t>
      </w:r>
      <w:r>
        <w:rPr>
          <w:rFonts w:ascii="方正小标宋简体" w:hAnsi="方正小标宋简体" w:cs="方正小标宋简体" w:eastAsia="方正小标宋简体"/>
          <w:spacing w:val="-5"/>
          <w:w w:val="100"/>
          <w:sz w:val="44"/>
          <w:szCs w:val="44"/>
        </w:rPr>
        <w:t>印</w:t>
      </w:r>
      <w:r>
        <w:rPr>
          <w:rFonts w:ascii="方正小标宋简体" w:hAnsi="方正小标宋简体" w:cs="方正小标宋简体" w:eastAsia="方正小标宋简体"/>
          <w:spacing w:val="0"/>
          <w:w w:val="100"/>
          <w:sz w:val="44"/>
          <w:szCs w:val="44"/>
        </w:rPr>
        <w:t>发</w:t>
      </w:r>
    </w:p>
    <w:p>
      <w:pPr>
        <w:spacing w:before="0" w:after="0" w:line="575" w:lineRule="exact"/>
        <w:ind w:left="553" w:right="542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《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市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委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规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范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性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1"/>
          <w:sz w:val="44"/>
          <w:szCs w:val="44"/>
        </w:rPr>
        <w:t>文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件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和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重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1"/>
          <w:sz w:val="44"/>
          <w:szCs w:val="44"/>
        </w:rPr>
        <w:t>大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决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策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合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法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合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规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1"/>
          <w:sz w:val="44"/>
          <w:szCs w:val="44"/>
        </w:rPr>
        <w:t>性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0"/>
          <w:sz w:val="44"/>
          <w:szCs w:val="44"/>
        </w:rPr>
      </w:r>
    </w:p>
    <w:p>
      <w:pPr>
        <w:spacing w:before="0" w:after="0" w:line="575" w:lineRule="exact"/>
        <w:ind w:left="2737" w:right="2722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审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查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办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法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》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的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1"/>
          <w:sz w:val="44"/>
          <w:szCs w:val="44"/>
        </w:rPr>
        <w:t>通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1"/>
          <w:sz w:val="44"/>
          <w:szCs w:val="44"/>
        </w:rPr>
        <w:t>知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0"/>
          <w:sz w:val="44"/>
          <w:szCs w:val="44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52" w:lineRule="auto"/>
        <w:ind w:left="111" w:right="14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直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：</w:t>
      </w:r>
    </w:p>
    <w:p>
      <w:pPr>
        <w:spacing w:before="6" w:after="0" w:line="252" w:lineRule="auto"/>
        <w:ind w:left="111" w:right="9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印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你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深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入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贯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彻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习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近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平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总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别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察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安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措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加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快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北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依</w:t>
      </w:r>
    </w:p>
    <w:p>
      <w:pPr>
        <w:spacing w:line="252" w:lineRule="auto" w:after="0"/>
        <w:jc w:val="both"/>
        <w:rPr>
          <w:rFonts w:ascii="微软雅黑" w:hAnsi="微软雅黑" w:cs="微软雅黑" w:eastAsia="微软雅黑"/>
          <w:sz w:val="32"/>
          <w:szCs w:val="32"/>
        </w:rPr>
        <w:sectPr>
          <w:footerReference w:type="default" r:id="rId5"/>
          <w:footerReference w:type="even" r:id="rId6"/>
          <w:type w:val="continuous"/>
          <w:pgSz w:w="11920" w:h="16840"/>
          <w:pgMar w:footer="1574" w:top="1580" w:bottom="1760" w:left="1420" w:right="142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00" w:lineRule="exact"/>
        <w:ind w:left="109" w:right="45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合</w:t>
      </w:r>
    </w:p>
    <w:p>
      <w:pPr>
        <w:spacing w:before="29" w:after="0" w:line="252" w:lineRule="auto"/>
        <w:ind w:left="109" w:right="12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加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导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于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本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强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化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量</w:t>
      </w:r>
      <w:r>
        <w:rPr>
          <w:rFonts w:ascii="微软雅黑" w:hAnsi="微软雅黑" w:cs="微软雅黑" w:eastAsia="微软雅黑"/>
          <w:spacing w:val="-81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确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保</w:t>
      </w:r>
      <w:r>
        <w:rPr>
          <w:rFonts w:ascii="微软雅黑" w:hAnsi="微软雅黑" w:cs="微软雅黑" w:eastAsia="微软雅黑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spacing w:val="-7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年</w:t>
      </w:r>
      <w:r>
        <w:rPr>
          <w:rFonts w:ascii="微软雅黑" w:hAnsi="微软雅黑" w:cs="微软雅黑" w:eastAsia="微软雅黑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前</w:t>
      </w:r>
      <w:r>
        <w:rPr>
          <w:rFonts w:ascii="微软雅黑" w:hAnsi="微软雅黑" w:cs="微软雅黑" w:eastAsia="微软雅黑"/>
          <w:spacing w:val="-81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盖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left="5309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室</w:t>
      </w:r>
    </w:p>
    <w:p>
      <w:pPr>
        <w:spacing w:before="29" w:after="0" w:line="240" w:lineRule="auto"/>
        <w:ind w:left="6018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年</w:t>
      </w:r>
      <w:r>
        <w:rPr>
          <w:rFonts w:ascii="微软雅黑" w:hAnsi="微软雅黑" w:cs="微软雅黑" w:eastAsia="微软雅黑"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月</w:t>
      </w:r>
      <w:r>
        <w:rPr>
          <w:rFonts w:ascii="微软雅黑" w:hAnsi="微软雅黑" w:cs="微软雅黑" w:eastAsia="微软雅黑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日</w:t>
      </w:r>
    </w:p>
    <w:p>
      <w:pPr>
        <w:spacing w:line="240" w:lineRule="auto" w:after="0"/>
        <w:jc w:val="left"/>
        <w:rPr>
          <w:rFonts w:ascii="微软雅黑" w:hAnsi="微软雅黑" w:cs="微软雅黑" w:eastAsia="微软雅黑"/>
          <w:sz w:val="32"/>
          <w:szCs w:val="32"/>
        </w:rPr>
        <w:sectPr>
          <w:pgSz w:w="11900" w:h="16840"/>
          <w:pgMar w:header="0" w:footer="1574" w:top="1580" w:bottom="1760" w:left="1420" w:right="1420"/>
        </w:sectPr>
      </w:pPr>
    </w:p>
    <w:p>
      <w:pPr>
        <w:spacing w:before="2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521" w:lineRule="exact"/>
        <w:ind w:left="2730" w:right="2875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市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委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规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范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性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2"/>
          <w:sz w:val="44"/>
          <w:szCs w:val="44"/>
        </w:rPr>
        <w:t>文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2"/>
          <w:sz w:val="44"/>
          <w:szCs w:val="44"/>
        </w:rPr>
        <w:t>件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2"/>
          <w:sz w:val="44"/>
          <w:szCs w:val="44"/>
        </w:rPr>
        <w:t>和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0"/>
          <w:sz w:val="44"/>
          <w:szCs w:val="44"/>
        </w:rPr>
      </w:r>
    </w:p>
    <w:p>
      <w:pPr>
        <w:spacing w:before="0" w:after="0" w:line="575" w:lineRule="exact"/>
        <w:ind w:left="1637" w:right="1792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重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大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决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策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合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法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1"/>
          <w:sz w:val="44"/>
          <w:szCs w:val="44"/>
        </w:rPr>
        <w:t>合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规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性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审</w:t>
      </w:r>
      <w:r>
        <w:rPr>
          <w:rFonts w:ascii="方正小标宋简体" w:hAnsi="方正小标宋简体" w:cs="方正小标宋简体" w:eastAsia="方正小标宋简体"/>
          <w:spacing w:val="-10"/>
          <w:w w:val="100"/>
          <w:position w:val="1"/>
          <w:sz w:val="44"/>
          <w:szCs w:val="44"/>
        </w:rPr>
        <w:t>查</w:t>
      </w:r>
      <w:r>
        <w:rPr>
          <w:rFonts w:ascii="方正小标宋简体" w:hAnsi="方正小标宋简体" w:cs="方正小标宋简体" w:eastAsia="方正小标宋简体"/>
          <w:spacing w:val="-5"/>
          <w:w w:val="100"/>
          <w:position w:val="1"/>
          <w:sz w:val="44"/>
          <w:szCs w:val="44"/>
        </w:rPr>
        <w:t>办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1"/>
          <w:sz w:val="44"/>
          <w:szCs w:val="44"/>
        </w:rPr>
        <w:t>法</w:t>
      </w:r>
      <w:r>
        <w:rPr>
          <w:rFonts w:ascii="方正小标宋简体" w:hAnsi="方正小标宋简体" w:cs="方正小标宋简体" w:eastAsia="方正小标宋简体"/>
          <w:spacing w:val="0"/>
          <w:w w:val="100"/>
          <w:position w:val="0"/>
          <w:sz w:val="44"/>
          <w:szCs w:val="44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60" w:val="left"/>
        </w:tabs>
        <w:spacing w:before="0" w:after="0" w:line="252" w:lineRule="auto"/>
        <w:ind w:left="109" w:right="167" w:firstLine="633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10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5"/>
          <w:w w:val="100"/>
          <w:sz w:val="32"/>
          <w:szCs w:val="32"/>
        </w:rPr>
        <w:t>一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为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了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步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加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快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设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根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据</w:t>
      </w:r>
    </w:p>
    <w:p>
      <w:pPr>
        <w:spacing w:before="6" w:after="0" w:line="252" w:lineRule="auto"/>
        <w:ind w:left="109" w:right="172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例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》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则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tabs>
          <w:tab w:pos="2000" w:val="left"/>
        </w:tabs>
        <w:spacing w:before="6" w:after="0" w:line="252" w:lineRule="auto"/>
        <w:ind w:left="109" w:right="14" w:firstLine="628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二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称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责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过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具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束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力</w:t>
      </w:r>
      <w:r>
        <w:rPr>
          <w:rFonts w:ascii="微软雅黑" w:hAnsi="微软雅黑" w:cs="微软雅黑" w:eastAsia="微软雅黑"/>
          <w:spacing w:val="-58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8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8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86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含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81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彻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导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济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身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利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加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设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所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具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括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：</w:t>
      </w:r>
    </w:p>
    <w:p>
      <w:pPr>
        <w:spacing w:before="29" w:after="0" w:line="252" w:lineRule="auto"/>
        <w:ind w:left="109" w:right="172" w:firstLine="633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代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施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52" w:lineRule="auto"/>
        <w:ind w:left="109" w:right="172" w:firstLine="633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战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革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民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生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保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设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tabs>
          <w:tab w:pos="2000" w:val="left"/>
        </w:tabs>
        <w:spacing w:before="29" w:after="0" w:line="252" w:lineRule="auto"/>
        <w:ind w:left="109" w:right="172" w:firstLine="628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三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除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决</w:t>
      </w:r>
    </w:p>
    <w:p>
      <w:pPr>
        <w:spacing w:line="252" w:lineRule="auto" w:after="0"/>
        <w:jc w:val="left"/>
        <w:rPr>
          <w:rFonts w:ascii="微软雅黑" w:hAnsi="微软雅黑" w:cs="微软雅黑" w:eastAsia="微软雅黑"/>
          <w:sz w:val="32"/>
          <w:szCs w:val="32"/>
        </w:rPr>
        <w:sectPr>
          <w:footerReference w:type="default" r:id="rId7"/>
          <w:footerReference w:type="even" r:id="rId8"/>
          <w:pgSz w:w="11900" w:h="16840"/>
          <w:pgMar w:footer="1573" w:header="0" w:top="1580" w:bottom="1760" w:left="1420" w:right="1260"/>
          <w:pgNumType w:start="3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00" w:lineRule="exact"/>
        <w:ind w:left="11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等</w:t>
      </w:r>
    </w:p>
    <w:p>
      <w:pPr>
        <w:spacing w:before="29" w:after="0" w:line="252" w:lineRule="auto"/>
        <w:ind w:left="745" w:right="14" w:hanging="634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布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审</w:t>
      </w:r>
    </w:p>
    <w:p>
      <w:pPr>
        <w:spacing w:before="6" w:after="0" w:line="240" w:lineRule="auto"/>
        <w:ind w:left="11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29" w:after="0" w:line="252" w:lineRule="auto"/>
        <w:ind w:left="111" w:right="1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四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负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责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担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五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须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机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；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疑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向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六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已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七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向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主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子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档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起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说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险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依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主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料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等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line="252" w:lineRule="auto" w:after="0"/>
        <w:jc w:val="both"/>
        <w:rPr>
          <w:rFonts w:ascii="微软雅黑" w:hAnsi="微软雅黑" w:cs="微软雅黑" w:eastAsia="微软雅黑"/>
          <w:sz w:val="32"/>
          <w:szCs w:val="32"/>
        </w:rPr>
        <w:sectPr>
          <w:pgSz w:w="11920" w:h="16840"/>
          <w:pgMar w:header="0" w:footer="1574" w:top="1580" w:bottom="1760" w:left="1420" w:right="142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000" w:val="left"/>
        </w:tabs>
        <w:spacing w:before="0" w:after="0" w:line="420" w:lineRule="exact"/>
        <w:ind w:left="737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八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决</w:t>
      </w:r>
    </w:p>
    <w:p>
      <w:pPr>
        <w:spacing w:before="29" w:after="0" w:line="252" w:lineRule="auto"/>
        <w:ind w:left="109" w:right="172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确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保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符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论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主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容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：</w:t>
      </w:r>
    </w:p>
    <w:p>
      <w:pPr>
        <w:spacing w:before="6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章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理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抵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触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致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52" w:lineRule="auto"/>
        <w:ind w:left="109" w:right="81" w:firstLine="633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三</w:t>
      </w:r>
      <w:r>
        <w:rPr>
          <w:rFonts w:ascii="微软雅黑" w:hAnsi="微软雅黑" w:cs="微软雅黑" w:eastAsia="微软雅黑"/>
          <w:spacing w:val="-38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央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央</w:t>
      </w:r>
      <w:r>
        <w:rPr>
          <w:rFonts w:ascii="微软雅黑" w:hAnsi="微软雅黑" w:cs="微软雅黑" w:eastAsia="微软雅黑"/>
          <w:spacing w:val="-43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纪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机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央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省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党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抵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触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四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冲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52" w:lineRule="auto"/>
        <w:ind w:left="109" w:right="172" w:firstLine="633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分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商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原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神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tabs>
          <w:tab w:pos="2000" w:val="left"/>
        </w:tabs>
        <w:spacing w:before="29" w:after="0" w:line="240" w:lineRule="auto"/>
        <w:ind w:left="737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九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可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：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书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况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面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商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到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究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29" w:after="0" w:line="240" w:lineRule="auto"/>
        <w:ind w:left="74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tabs>
          <w:tab w:pos="2000" w:val="left"/>
        </w:tabs>
        <w:spacing w:before="29" w:after="0" w:line="240" w:lineRule="auto"/>
        <w:ind w:left="737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十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加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强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与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沟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通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，</w:t>
      </w:r>
    </w:p>
    <w:p>
      <w:pPr>
        <w:spacing w:line="240" w:lineRule="auto" w:after="0"/>
        <w:jc w:val="left"/>
        <w:rPr>
          <w:rFonts w:ascii="微软雅黑" w:hAnsi="微软雅黑" w:cs="微软雅黑" w:eastAsia="微软雅黑"/>
          <w:sz w:val="32"/>
          <w:szCs w:val="32"/>
        </w:rPr>
        <w:sectPr>
          <w:pgSz w:w="11900" w:h="16840"/>
          <w:pgMar w:header="0" w:footer="1573" w:top="1580" w:bottom="1760" w:left="1420" w:right="126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00" w:lineRule="exact"/>
        <w:ind w:left="111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于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发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现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深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入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研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究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泛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协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商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修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14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29" w:after="0" w:line="252" w:lineRule="auto"/>
        <w:ind w:left="111" w:right="17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十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一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按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形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理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：</w:t>
      </w:r>
    </w:p>
    <w:p>
      <w:pPr>
        <w:spacing w:before="6" w:after="0" w:line="252" w:lineRule="auto"/>
        <w:ind w:left="111" w:right="17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常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或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52" w:lineRule="auto"/>
        <w:ind w:left="111" w:right="174" w:firstLine="634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序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；</w:t>
      </w:r>
    </w:p>
    <w:p>
      <w:pPr>
        <w:spacing w:before="6" w:after="0" w:line="252" w:lineRule="auto"/>
        <w:ind w:left="111" w:right="16" w:firstLine="634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相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一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163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复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疑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问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题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未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解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负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责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志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缓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提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常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者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进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入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签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序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退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修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改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序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新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7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十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二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门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会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明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政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在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送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材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就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情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况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作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明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74" w:firstLine="629"/>
        <w:jc w:val="both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十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三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建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立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档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制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度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对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范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文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和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重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大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决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策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合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性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审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的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有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关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材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料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，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室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应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当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及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收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齐</w:t>
      </w:r>
      <w:r>
        <w:rPr>
          <w:rFonts w:ascii="微软雅黑" w:hAnsi="微软雅黑" w:cs="微软雅黑" w:eastAsia="微软雅黑"/>
          <w:spacing w:val="-10"/>
          <w:w w:val="100"/>
          <w:sz w:val="32"/>
          <w:szCs w:val="32"/>
        </w:rPr>
        <w:t>全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、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整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理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归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档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tabs>
          <w:tab w:pos="2320" w:val="left"/>
        </w:tabs>
        <w:spacing w:before="6" w:after="0" w:line="240" w:lineRule="auto"/>
        <w:ind w:left="740" w:right="-20"/>
        <w:jc w:val="left"/>
        <w:rPr>
          <w:rFonts w:ascii="微软雅黑" w:hAnsi="微软雅黑" w:cs="微软雅黑" w:eastAsia="微软雅黑"/>
          <w:sz w:val="32"/>
          <w:szCs w:val="32"/>
        </w:rPr>
      </w:pPr>
      <w:r>
        <w:rPr>
          <w:rFonts w:ascii="黑体" w:hAnsi="黑体" w:cs="黑体" w:eastAsia="黑体"/>
          <w:spacing w:val="-5"/>
          <w:w w:val="100"/>
          <w:sz w:val="32"/>
          <w:szCs w:val="32"/>
        </w:rPr>
        <w:t>第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十</w:t>
      </w:r>
      <w:r>
        <w:rPr>
          <w:rFonts w:ascii="黑体" w:hAnsi="黑体" w:cs="黑体" w:eastAsia="黑体"/>
          <w:spacing w:val="-5"/>
          <w:w w:val="100"/>
          <w:sz w:val="32"/>
          <w:szCs w:val="32"/>
        </w:rPr>
        <w:t>四</w:t>
      </w:r>
      <w:r>
        <w:rPr>
          <w:rFonts w:ascii="黑体" w:hAnsi="黑体" w:cs="黑体" w:eastAsia="黑体"/>
          <w:spacing w:val="0"/>
          <w:w w:val="100"/>
          <w:sz w:val="32"/>
          <w:szCs w:val="32"/>
        </w:rPr>
        <w:t>条</w:t>
        <w:tab/>
      </w:r>
      <w:r>
        <w:rPr>
          <w:rFonts w:ascii="黑体" w:hAnsi="黑体" w:cs="黑体" w:eastAsia="黑体"/>
          <w:spacing w:val="0"/>
          <w:w w:val="100"/>
          <w:sz w:val="32"/>
          <w:szCs w:val="32"/>
        </w:rPr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本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法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自</w:t>
      </w:r>
      <w:r>
        <w:rPr>
          <w:rFonts w:ascii="微软雅黑" w:hAnsi="微软雅黑" w:cs="微软雅黑" w:eastAsia="微软雅黑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年</w:t>
      </w:r>
      <w:r>
        <w:rPr>
          <w:rFonts w:ascii="微软雅黑" w:hAnsi="微软雅黑" w:cs="微软雅黑" w:eastAsia="微软雅黑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月</w:t>
      </w:r>
      <w:r>
        <w:rPr>
          <w:rFonts w:ascii="微软雅黑" w:hAnsi="微软雅黑" w:cs="微软雅黑" w:eastAsia="微软雅黑"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  <w:sz w:val="32"/>
          <w:szCs w:val="32"/>
        </w:rPr>
        <w:t> 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日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起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施</w:t>
      </w:r>
      <w:r>
        <w:rPr>
          <w:rFonts w:ascii="微软雅黑" w:hAnsi="微软雅黑" w:cs="微软雅黑" w:eastAsia="微软雅黑"/>
          <w:spacing w:val="-5"/>
          <w:w w:val="100"/>
          <w:sz w:val="32"/>
          <w:szCs w:val="32"/>
        </w:rPr>
        <w:t>行</w:t>
      </w:r>
      <w:r>
        <w:rPr>
          <w:rFonts w:ascii="微软雅黑" w:hAnsi="微软雅黑" w:cs="微软雅黑" w:eastAsia="微软雅黑"/>
          <w:spacing w:val="0"/>
          <w:w w:val="100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220" w:val="left"/>
        </w:tabs>
        <w:spacing w:before="0" w:after="0" w:line="240" w:lineRule="auto"/>
        <w:ind w:left="294" w:right="-20"/>
        <w:jc w:val="left"/>
        <w:rPr>
          <w:rFonts w:ascii="微软雅黑" w:hAnsi="微软雅黑" w:cs="微软雅黑" w:eastAsia="微软雅黑"/>
          <w:sz w:val="28"/>
          <w:szCs w:val="28"/>
        </w:rPr>
      </w:pPr>
      <w:r>
        <w:rPr/>
        <w:pict>
          <v:group style="position:absolute;margin-left:76.570267pt;margin-top:29.337299pt;width:442.37938pt;height:.1pt;mso-position-horizontal-relative:page;mso-position-vertical-relative:paragraph;z-index:-168" coordorigin="1531,587" coordsize="8848,2">
            <v:shape style="position:absolute;left:1531;top:587;width:8848;height:2" coordorigin="1531,587" coordsize="8848,0" path="m1531,587l10379,587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76.570267pt;margin-top:.327609pt;width:442.37938pt;height:.1pt;mso-position-horizontal-relative:page;mso-position-vertical-relative:paragraph;z-index:-167" coordorigin="1531,7" coordsize="8848,2">
            <v:shape style="position:absolute;left:1531;top:7;width:8848;height:2" coordorigin="1531,7" coordsize="8848,0" path="m1531,7l10379,7e" filled="f" stroked="t" strokeweight="1pt" strokecolor="#000000">
              <v:path arrowok="t"/>
            </v:shape>
            <w10:wrap type="none"/>
          </v:group>
        </w:pic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中</w:t>
      </w:r>
      <w:r>
        <w:rPr>
          <w:rFonts w:ascii="微软雅黑" w:hAnsi="微软雅黑" w:cs="微软雅黑" w:eastAsia="微软雅黑"/>
          <w:spacing w:val="-5"/>
          <w:w w:val="100"/>
          <w:sz w:val="28"/>
          <w:szCs w:val="28"/>
        </w:rPr>
        <w:t>共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淮</w:t>
      </w:r>
      <w:r>
        <w:rPr>
          <w:rFonts w:ascii="微软雅黑" w:hAnsi="微软雅黑" w:cs="微软雅黑" w:eastAsia="微软雅黑"/>
          <w:spacing w:val="-5"/>
          <w:w w:val="100"/>
          <w:sz w:val="28"/>
          <w:szCs w:val="28"/>
        </w:rPr>
        <w:t>北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市</w:t>
      </w:r>
      <w:r>
        <w:rPr>
          <w:rFonts w:ascii="微软雅黑" w:hAnsi="微软雅黑" w:cs="微软雅黑" w:eastAsia="微软雅黑"/>
          <w:spacing w:val="-5"/>
          <w:w w:val="100"/>
          <w:sz w:val="28"/>
          <w:szCs w:val="28"/>
        </w:rPr>
        <w:t>委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办</w:t>
      </w:r>
      <w:r>
        <w:rPr>
          <w:rFonts w:ascii="微软雅黑" w:hAnsi="微软雅黑" w:cs="微软雅黑" w:eastAsia="微软雅黑"/>
          <w:spacing w:val="-5"/>
          <w:w w:val="100"/>
          <w:sz w:val="28"/>
          <w:szCs w:val="28"/>
        </w:rPr>
        <w:t>公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室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</w:r>
      <w:r>
        <w:rPr>
          <w:rFonts w:ascii="Times New Roman" w:hAnsi="Times New Roman" w:cs="Times New Roman" w:eastAsia="Times New Roman"/>
          <w:spacing w:val="-5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pacing w:val="0"/>
          <w:w w:val="100"/>
          <w:sz w:val="28"/>
          <w:szCs w:val="28"/>
        </w:rPr>
        <w:t>017</w:t>
      </w:r>
      <w:r>
        <w:rPr>
          <w:rFonts w:ascii="Times New Roman" w:hAnsi="Times New Roman" w:cs="Times New Roman" w:eastAsia="Times New Roman"/>
          <w:spacing w:val="-9"/>
          <w:w w:val="100"/>
          <w:sz w:val="28"/>
          <w:szCs w:val="28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年</w:t>
      </w:r>
      <w:r>
        <w:rPr>
          <w:rFonts w:ascii="微软雅黑" w:hAnsi="微软雅黑" w:cs="微软雅黑" w:eastAsia="微软雅黑"/>
          <w:spacing w:val="-1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pacing w:val="-4"/>
          <w:w w:val="100"/>
          <w:sz w:val="28"/>
          <w:szCs w:val="28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月</w:t>
      </w:r>
      <w:r>
        <w:rPr>
          <w:rFonts w:ascii="微软雅黑" w:hAnsi="微软雅黑" w:cs="微软雅黑" w:eastAsia="微软雅黑"/>
          <w:spacing w:val="-1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pacing w:val="-9"/>
          <w:w w:val="100"/>
          <w:sz w:val="28"/>
          <w:szCs w:val="28"/>
        </w:rPr>
        <w:t> 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日</w:t>
      </w:r>
      <w:r>
        <w:rPr>
          <w:rFonts w:ascii="微软雅黑" w:hAnsi="微软雅黑" w:cs="微软雅黑" w:eastAsia="微软雅黑"/>
          <w:spacing w:val="-5"/>
          <w:w w:val="100"/>
          <w:sz w:val="28"/>
          <w:szCs w:val="28"/>
        </w:rPr>
        <w:t>印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  <w:t>发</w:t>
      </w:r>
      <w:r>
        <w:rPr>
          <w:rFonts w:ascii="微软雅黑" w:hAnsi="微软雅黑" w:cs="微软雅黑" w:eastAsia="微软雅黑"/>
          <w:spacing w:val="0"/>
          <w:w w:val="100"/>
          <w:sz w:val="28"/>
          <w:szCs w:val="28"/>
        </w:rPr>
      </w:r>
    </w:p>
    <w:sectPr>
      <w:pgSz w:w="11920" w:h="16840"/>
      <w:pgMar w:header="0" w:footer="1574" w:top="1580" w:bottom="1760" w:left="14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黑体">
    <w:altName w:val="黑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821198pt;margin-top:752.316101pt;width:50.726521pt;height:15.92187pt;mso-position-horizontal-relative:page;mso-position-vertical-relative:page;z-index:-169" type="#_x0000_t202" filled="f" stroked="f">
          <v:textbox inset="0,0,0,0">
            <w:txbxContent>
              <w:p>
                <w:pPr>
                  <w:spacing w:before="0" w:after="0" w:line="299" w:lineRule="exact"/>
                  <w:ind w:left="20" w:right="-62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3"/>
                    <w:w w:val="100"/>
                    <w:position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eastAsia="宋体"/>
                    <w:spacing w:val="-1"/>
                    <w:w w:val="100"/>
                    <w:position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89.340317pt;margin-top:752.336121pt;width:50.644781pt;height:15.89851pt;mso-position-horizontal-relative:page;mso-position-vertical-relative:page;z-index:-168" type="#_x0000_t202" filled="f" stroked="f">
          <v:textbox inset="0,0,0,0">
            <w:txbxContent>
              <w:p>
                <w:pPr>
                  <w:spacing w:before="0" w:after="0" w:line="297" w:lineRule="exact"/>
                  <w:ind w:left="20" w:right="-62"/>
                  <w:jc w:val="left"/>
                  <w:rPr>
                    <w:rFonts w:ascii="宋体" w:hAnsi="宋体" w:cs="宋体" w:eastAsia="宋体"/>
                    <w:sz w:val="27"/>
                    <w:szCs w:val="27"/>
                  </w:rPr>
                </w:pP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7"/>
                    <w:szCs w:val="27"/>
                  </w:rPr>
                  <w:t>—</w:t>
                </w:r>
                <w:r>
                  <w:rPr>
                    <w:rFonts w:ascii="宋体" w:hAnsi="宋体" w:cs="宋体" w:eastAsia="宋体"/>
                    <w:spacing w:val="9"/>
                    <w:w w:val="100"/>
                    <w:position w:val="-1"/>
                    <w:sz w:val="27"/>
                    <w:szCs w:val="27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7"/>
                    <w:szCs w:val="27"/>
                  </w:rPr>
                  <w:t>2</w:t>
                </w:r>
                <w:r>
                  <w:rPr>
                    <w:rFonts w:ascii="宋体" w:hAnsi="宋体" w:cs="宋体" w:eastAsia="宋体"/>
                    <w:spacing w:val="7"/>
                    <w:w w:val="100"/>
                    <w:position w:val="-1"/>
                    <w:sz w:val="27"/>
                    <w:szCs w:val="27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2"/>
                    <w:position w:val="-1"/>
                    <w:sz w:val="27"/>
                    <w:szCs w:val="27"/>
                  </w:rPr>
                  <w:t>—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54.056396pt;margin-top:752.336121pt;width:50.644751pt;height:15.89851pt;mso-position-horizontal-relative:page;mso-position-vertical-relative:page;z-index:-167" type="#_x0000_t202" filled="f" stroked="f">
          <v:textbox inset="0,0,0,0">
            <w:txbxContent>
              <w:p>
                <w:pPr>
                  <w:spacing w:before="0" w:after="0" w:line="297" w:lineRule="exact"/>
                  <w:ind w:left="20" w:right="-62"/>
                  <w:jc w:val="left"/>
                  <w:rPr>
                    <w:rFonts w:ascii="宋体" w:hAnsi="宋体" w:cs="宋体" w:eastAsia="宋体"/>
                    <w:sz w:val="27"/>
                    <w:szCs w:val="27"/>
                  </w:rPr>
                </w:pP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7"/>
                    <w:szCs w:val="27"/>
                  </w:rPr>
                  <w:t>—</w:t>
                </w:r>
                <w:r>
                  <w:rPr>
                    <w:rFonts w:ascii="宋体" w:hAnsi="宋体" w:cs="宋体" w:eastAsia="宋体"/>
                    <w:spacing w:val="9"/>
                    <w:w w:val="100"/>
                    <w:position w:val="-1"/>
                    <w:sz w:val="27"/>
                    <w:szCs w:val="2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pacing w:val="7"/>
                    <w:w w:val="100"/>
                    <w:position w:val="-1"/>
                    <w:sz w:val="27"/>
                    <w:szCs w:val="27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2"/>
                    <w:position w:val="-1"/>
                    <w:sz w:val="27"/>
                    <w:szCs w:val="27"/>
                  </w:rPr>
                  <w:t>—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89.492149pt;margin-top:752.316101pt;width:50.726541pt;height:15.92187pt;mso-position-horizontal-relative:page;mso-position-vertical-relative:page;z-index:-166" type="#_x0000_t202" filled="f" stroked="f">
          <v:textbox inset="0,0,0,0">
            <w:txbxContent>
              <w:p>
                <w:pPr>
                  <w:spacing w:before="0" w:after="0" w:line="299" w:lineRule="exact"/>
                  <w:ind w:left="20" w:right="-62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3"/>
                    <w:w w:val="100"/>
                    <w:position w:val="-1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pacing w:val="-1"/>
                    <w:w w:val="100"/>
                    <w:position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-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position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2017-01-13T09:38:54Z</dcterms:created>
  <dcterms:modified xsi:type="dcterms:W3CDTF">2017-01-13T09:38:54Z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2017-01-13T00:00:00Z</vt:filetime>
  </property>
</Properties>
</file>